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C195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附件2：</w:t>
      </w:r>
    </w:p>
    <w:p w14:paraId="41DFCD4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sz w:val="44"/>
          <w:szCs w:val="44"/>
          <w:lang w:val="en-US" w:eastAsia="zh-CN"/>
        </w:rPr>
      </w:pPr>
    </w:p>
    <w:p w14:paraId="47F143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《鄂尔多斯市绿色矿山建设管理条例（修订草案征求意见稿）》</w:t>
      </w:r>
      <w:r>
        <w:rPr>
          <w:rFonts w:hint="eastAsia" w:ascii="方正小标宋简体" w:hAnsi="方正小标宋简体" w:eastAsia="方正小标宋简体" w:cs="方正小标宋简体"/>
          <w:sz w:val="44"/>
          <w:szCs w:val="44"/>
          <w:lang w:val="en-US" w:eastAsia="zh-CN"/>
        </w:rPr>
        <w:br w:type="textWrapping"/>
      </w:r>
      <w:r>
        <w:rPr>
          <w:rFonts w:hint="eastAsia" w:ascii="方正小标宋简体" w:hAnsi="方正小标宋简体" w:eastAsia="方正小标宋简体" w:cs="方正小标宋简体"/>
          <w:sz w:val="44"/>
          <w:szCs w:val="44"/>
          <w:lang w:val="en-US" w:eastAsia="zh-CN"/>
        </w:rPr>
        <w:t>修改前后对照表</w:t>
      </w:r>
    </w:p>
    <w:p w14:paraId="5B57E7DB">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（下划线部分为拟修改内容，删除线部分为删除内容，红色部分为修改或者增加内容）</w:t>
      </w:r>
    </w:p>
    <w:tbl>
      <w:tblPr>
        <w:tblStyle w:val="7"/>
        <w:tblW w:w="0" w:type="auto"/>
        <w:tblInd w:w="91" w:type="dxa"/>
        <w:tblLayout w:type="fixed"/>
        <w:tblCellMar>
          <w:top w:w="0" w:type="dxa"/>
          <w:left w:w="108" w:type="dxa"/>
          <w:bottom w:w="0" w:type="dxa"/>
          <w:right w:w="108" w:type="dxa"/>
        </w:tblCellMar>
      </w:tblPr>
      <w:tblGrid>
        <w:gridCol w:w="4923"/>
        <w:gridCol w:w="4713"/>
        <w:gridCol w:w="4244"/>
      </w:tblGrid>
      <w:tr w14:paraId="4925C732">
        <w:tblPrEx>
          <w:tblCellMar>
            <w:top w:w="0" w:type="dxa"/>
            <w:left w:w="108" w:type="dxa"/>
            <w:bottom w:w="0" w:type="dxa"/>
            <w:right w:w="108" w:type="dxa"/>
          </w:tblCellMar>
        </w:tblPrEx>
        <w:trPr>
          <w:trHeight w:val="64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9F08F">
            <w:pPr>
              <w:widowControl/>
              <w:spacing w:line="360" w:lineRule="exact"/>
              <w:jc w:val="center"/>
              <w:textAlignment w:val="center"/>
              <w:rPr>
                <w:rFonts w:ascii="黑体" w:hAnsi="宋体" w:eastAsia="黑体" w:cs="黑体"/>
                <w:b/>
                <w:color w:val="000000"/>
                <w:sz w:val="28"/>
                <w:szCs w:val="28"/>
              </w:rPr>
            </w:pPr>
            <w:r>
              <w:rPr>
                <w:rFonts w:ascii="黑体" w:hAnsi="宋体" w:eastAsia="黑体" w:cs="黑体"/>
                <w:b/>
                <w:color w:val="000000"/>
                <w:kern w:val="0"/>
                <w:sz w:val="28"/>
                <w:szCs w:val="28"/>
              </w:rPr>
              <w:t>修改前</w:t>
            </w:r>
          </w:p>
        </w:tc>
        <w:tc>
          <w:tcPr>
            <w:tcW w:w="4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D2C1C">
            <w:pPr>
              <w:widowControl/>
              <w:spacing w:line="360" w:lineRule="exact"/>
              <w:jc w:val="center"/>
              <w:textAlignment w:val="center"/>
              <w:rPr>
                <w:rFonts w:ascii="黑体" w:hAnsi="宋体" w:eastAsia="黑体" w:cs="黑体"/>
                <w:b/>
                <w:color w:val="000000"/>
                <w:sz w:val="28"/>
                <w:szCs w:val="28"/>
              </w:rPr>
            </w:pPr>
            <w:r>
              <w:rPr>
                <w:rFonts w:ascii="黑体" w:hAnsi="宋体" w:eastAsia="黑体" w:cs="黑体"/>
                <w:b/>
                <w:color w:val="000000"/>
                <w:kern w:val="0"/>
                <w:sz w:val="28"/>
                <w:szCs w:val="28"/>
              </w:rPr>
              <w:t>修改后</w:t>
            </w:r>
          </w:p>
        </w:tc>
        <w:tc>
          <w:tcPr>
            <w:tcW w:w="4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86EB3">
            <w:pPr>
              <w:widowControl/>
              <w:spacing w:line="360" w:lineRule="exact"/>
              <w:jc w:val="center"/>
              <w:textAlignment w:val="center"/>
              <w:rPr>
                <w:rFonts w:ascii="黑体" w:hAnsi="宋体" w:eastAsia="黑体" w:cs="黑体"/>
                <w:b/>
                <w:color w:val="000000"/>
                <w:sz w:val="28"/>
                <w:szCs w:val="28"/>
              </w:rPr>
            </w:pPr>
            <w:r>
              <w:rPr>
                <w:rFonts w:ascii="黑体" w:hAnsi="宋体" w:eastAsia="黑体" w:cs="黑体"/>
                <w:b/>
                <w:color w:val="000000"/>
                <w:kern w:val="0"/>
                <w:sz w:val="28"/>
                <w:szCs w:val="28"/>
              </w:rPr>
              <w:t>修改依据或者理由</w:t>
            </w:r>
          </w:p>
        </w:tc>
      </w:tr>
      <w:tr w14:paraId="3E5529B6">
        <w:tblPrEx>
          <w:tblCellMar>
            <w:top w:w="0" w:type="dxa"/>
            <w:left w:w="108" w:type="dxa"/>
            <w:bottom w:w="0" w:type="dxa"/>
            <w:right w:w="108" w:type="dxa"/>
          </w:tblCellMar>
        </w:tblPrEx>
        <w:trPr>
          <w:trHeight w:val="44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3C26">
            <w:pPr>
              <w:widowControl/>
              <w:spacing w:line="360" w:lineRule="exact"/>
              <w:jc w:val="center"/>
              <w:textAlignment w:val="center"/>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第一章　总　则</w:t>
            </w:r>
          </w:p>
        </w:tc>
        <w:tc>
          <w:tcPr>
            <w:tcW w:w="4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41D1">
            <w:pPr>
              <w:widowControl/>
              <w:spacing w:line="360" w:lineRule="exac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F90E">
            <w:pPr>
              <w:widowControl/>
              <w:spacing w:line="360" w:lineRule="exact"/>
              <w:rPr>
                <w:rFonts w:ascii="宋体" w:hAnsi="宋体" w:cs="宋体"/>
                <w:color w:val="000000"/>
                <w:sz w:val="24"/>
              </w:rPr>
            </w:pPr>
          </w:p>
        </w:tc>
      </w:tr>
      <w:tr w14:paraId="51873CEE">
        <w:tblPrEx>
          <w:tblCellMar>
            <w:top w:w="0" w:type="dxa"/>
            <w:left w:w="108" w:type="dxa"/>
            <w:bottom w:w="0" w:type="dxa"/>
            <w:right w:w="108" w:type="dxa"/>
          </w:tblCellMar>
        </w:tblPrEx>
        <w:trPr>
          <w:trHeight w:val="157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F22F">
            <w:pPr>
              <w:widowControl/>
              <w:spacing w:line="360" w:lineRule="exac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第一条</w:t>
            </w:r>
            <w:r>
              <w:rPr>
                <w:rFonts w:hint="eastAsia" w:ascii="宋体" w:hAnsi="宋体" w:cs="宋体"/>
                <w:color w:val="000000"/>
                <w:kern w:val="0"/>
                <w:sz w:val="24"/>
              </w:rPr>
              <w:t>　为了规范绿色矿山建设与管理，促进矿业绿色、健康、持续发展，根据《中华人民共和国矿产资源法》《中华人民共和国环境保护法》等相关法律法规，结合本市实际，制定本条例。</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34A15">
            <w:pPr>
              <w:widowControl/>
              <w:spacing w:line="360" w:lineRule="exac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2187A">
            <w:pPr>
              <w:widowControl/>
              <w:spacing w:line="360" w:lineRule="exact"/>
              <w:rPr>
                <w:rFonts w:ascii="宋体" w:hAnsi="宋体" w:cs="宋体"/>
                <w:color w:val="000000"/>
                <w:sz w:val="24"/>
              </w:rPr>
            </w:pPr>
          </w:p>
        </w:tc>
      </w:tr>
      <w:tr w14:paraId="5618601D">
        <w:tblPrEx>
          <w:tblCellMar>
            <w:top w:w="0" w:type="dxa"/>
            <w:left w:w="108" w:type="dxa"/>
            <w:bottom w:w="0" w:type="dxa"/>
            <w:right w:w="108" w:type="dxa"/>
          </w:tblCellMar>
        </w:tblPrEx>
        <w:trPr>
          <w:trHeight w:val="252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53BD">
            <w:pPr>
              <w:widowControl/>
              <w:spacing w:line="360" w:lineRule="exact"/>
              <w:textAlignment w:val="top"/>
              <w:rPr>
                <w:rFonts w:ascii="宋体" w:hAnsi="宋体" w:cs="宋体"/>
                <w:color w:val="000000"/>
                <w:kern w:val="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第二条</w:t>
            </w:r>
            <w:r>
              <w:rPr>
                <w:rFonts w:hint="eastAsia" w:ascii="宋体" w:hAnsi="宋体" w:cs="宋体"/>
                <w:color w:val="000000"/>
                <w:kern w:val="0"/>
                <w:sz w:val="24"/>
              </w:rPr>
              <w:t>　本条例适用于本市行政区域内新建、改扩建和已建生产矿山的绿色矿山建设和管理。</w:t>
            </w:r>
          </w:p>
          <w:p w14:paraId="7ADD24B8">
            <w:pPr>
              <w:widowControl/>
              <w:spacing w:line="360" w:lineRule="exact"/>
              <w:textAlignment w:val="top"/>
              <w:rPr>
                <w:rFonts w:ascii="宋体" w:hAnsi="宋体" w:cs="宋体"/>
                <w:color w:val="000000"/>
                <w:sz w:val="24"/>
              </w:rPr>
            </w:pPr>
            <w:r>
              <w:rPr>
                <w:rFonts w:hint="eastAsia" w:ascii="宋体" w:hAnsi="宋体" w:cs="宋体"/>
                <w:color w:val="000000"/>
                <w:kern w:val="0"/>
                <w:sz w:val="24"/>
              </w:rPr>
              <w:t>　  绿色矿山是指在矿产资源开发全过程中，实施科学有序的规划和开采，对矿区及周边生态环境扰动控制在可控范围内，实现矿区环境生态化、开采方式科学化、资源利用高效化、企业管理规范化和矿区社区和谐化的矿山。</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7263">
            <w:pPr>
              <w:widowControl/>
              <w:spacing w:line="360" w:lineRule="exac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BA25">
            <w:pPr>
              <w:widowControl/>
              <w:spacing w:line="360" w:lineRule="exact"/>
              <w:rPr>
                <w:rFonts w:ascii="宋体" w:hAnsi="宋体" w:cs="宋体"/>
                <w:color w:val="000000"/>
                <w:sz w:val="24"/>
              </w:rPr>
            </w:pPr>
          </w:p>
        </w:tc>
      </w:tr>
      <w:tr w14:paraId="6CBE105E">
        <w:tblPrEx>
          <w:tblCellMar>
            <w:top w:w="0" w:type="dxa"/>
            <w:left w:w="108" w:type="dxa"/>
            <w:bottom w:w="0" w:type="dxa"/>
            <w:right w:w="108" w:type="dxa"/>
          </w:tblCellMar>
        </w:tblPrEx>
        <w:trPr>
          <w:trHeight w:val="945" w:hRule="atLeast"/>
        </w:trPr>
        <w:tc>
          <w:tcPr>
            <w:tcW w:w="4923" w:type="dxa"/>
            <w:tcBorders>
              <w:top w:val="single" w:color="000000" w:sz="4" w:space="0"/>
              <w:left w:val="single" w:color="auto" w:sz="4" w:space="0"/>
              <w:bottom w:val="single" w:color="000000" w:sz="4" w:space="0"/>
              <w:right w:val="single" w:color="000000" w:sz="4" w:space="0"/>
            </w:tcBorders>
            <w:shd w:val="clear" w:color="auto" w:fill="auto"/>
            <w:vAlign w:val="center"/>
          </w:tcPr>
          <w:p w14:paraId="76ACE303">
            <w:pPr>
              <w:widowControl/>
              <w:spacing w:line="360" w:lineRule="exac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第三条</w:t>
            </w:r>
            <w:r>
              <w:rPr>
                <w:rFonts w:hint="eastAsia" w:ascii="宋体" w:hAnsi="宋体" w:cs="宋体"/>
                <w:color w:val="000000"/>
                <w:kern w:val="0"/>
                <w:sz w:val="24"/>
              </w:rPr>
              <w:t>　绿色矿山建设应当以铸牢中华民族共同体意识为工作主线，坚持生态优先、绿色发展，按照党委领导、政府主导、企业建设、部门协作、分类指导的原则进行。</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49C3C">
            <w:pPr>
              <w:widowControl/>
              <w:spacing w:line="360" w:lineRule="exac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DABF">
            <w:pPr>
              <w:widowControl/>
              <w:spacing w:line="360" w:lineRule="exact"/>
              <w:rPr>
                <w:rFonts w:ascii="宋体" w:hAnsi="宋体" w:cs="宋体"/>
                <w:color w:val="000000"/>
                <w:sz w:val="24"/>
              </w:rPr>
            </w:pPr>
          </w:p>
        </w:tc>
      </w:tr>
      <w:tr w14:paraId="5B0E0431">
        <w:tblPrEx>
          <w:tblCellMar>
            <w:top w:w="0" w:type="dxa"/>
            <w:left w:w="108" w:type="dxa"/>
            <w:bottom w:w="0" w:type="dxa"/>
            <w:right w:w="108" w:type="dxa"/>
          </w:tblCellMar>
        </w:tblPrEx>
        <w:trPr>
          <w:trHeight w:val="399"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78655">
            <w:pPr>
              <w:widowControl/>
              <w:spacing w:line="360" w:lineRule="exac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第四条</w:t>
            </w:r>
            <w:r>
              <w:rPr>
                <w:rFonts w:hint="eastAsia" w:ascii="宋体" w:hAnsi="宋体" w:cs="宋体"/>
                <w:color w:val="000000"/>
                <w:kern w:val="0"/>
                <w:sz w:val="24"/>
              </w:rPr>
              <w:t>　绿色矿山建设应当执行国家、自治区相关行业标准。</w:t>
            </w:r>
            <w:r>
              <w:rPr>
                <w:rFonts w:hint="eastAsia" w:ascii="宋体" w:hAnsi="宋体" w:cs="宋体"/>
                <w:color w:val="000000"/>
                <w:kern w:val="0"/>
                <w:sz w:val="24"/>
              </w:rPr>
              <w:br w:type="textWrapping"/>
            </w:r>
            <w:r>
              <w:rPr>
                <w:rFonts w:hint="eastAsia" w:ascii="宋体" w:hAnsi="宋体" w:cs="宋体"/>
                <w:color w:val="000000"/>
                <w:kern w:val="0"/>
                <w:sz w:val="24"/>
              </w:rPr>
              <w:t>　　新建、改扩建矿山应当达到绿色矿山建设标准；未达到标准的已建生产矿山应当限期达到绿色矿山建设标准。</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036F">
            <w:pPr>
              <w:widowControl/>
              <w:spacing w:line="360" w:lineRule="exac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22A5">
            <w:pPr>
              <w:widowControl/>
              <w:spacing w:line="360" w:lineRule="exact"/>
              <w:rPr>
                <w:rFonts w:ascii="宋体" w:hAnsi="宋体" w:cs="宋体"/>
                <w:color w:val="000000"/>
                <w:sz w:val="24"/>
              </w:rPr>
            </w:pPr>
          </w:p>
        </w:tc>
      </w:tr>
      <w:tr w14:paraId="570CDB43">
        <w:tblPrEx>
          <w:tblCellMar>
            <w:top w:w="0" w:type="dxa"/>
            <w:left w:w="108" w:type="dxa"/>
            <w:bottom w:w="0" w:type="dxa"/>
            <w:right w:w="108" w:type="dxa"/>
          </w:tblCellMar>
        </w:tblPrEx>
        <w:trPr>
          <w:trHeight w:val="63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25E3">
            <w:pPr>
              <w:widowControl/>
              <w:spacing w:line="360" w:lineRule="exac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第五条</w:t>
            </w:r>
            <w:r>
              <w:rPr>
                <w:rFonts w:hint="eastAsia" w:ascii="宋体" w:hAnsi="宋体" w:cs="宋体"/>
                <w:color w:val="000000"/>
                <w:kern w:val="0"/>
                <w:sz w:val="24"/>
              </w:rPr>
              <w:t>　采矿权人是绿色矿山建设的责任主体，应当履行绿色矿山建设义务。</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884C">
            <w:pPr>
              <w:widowControl/>
              <w:spacing w:line="360" w:lineRule="exac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5FF1F">
            <w:pPr>
              <w:widowControl/>
              <w:spacing w:line="360" w:lineRule="exact"/>
              <w:rPr>
                <w:rFonts w:ascii="宋体" w:hAnsi="宋体" w:cs="宋体"/>
                <w:color w:val="000000"/>
                <w:sz w:val="24"/>
              </w:rPr>
            </w:pPr>
          </w:p>
        </w:tc>
      </w:tr>
      <w:tr w14:paraId="36EF8E1F">
        <w:tblPrEx>
          <w:tblCellMar>
            <w:top w:w="0" w:type="dxa"/>
            <w:left w:w="108" w:type="dxa"/>
            <w:bottom w:w="0" w:type="dxa"/>
            <w:right w:w="108" w:type="dxa"/>
          </w:tblCellMar>
        </w:tblPrEx>
        <w:trPr>
          <w:trHeight w:val="409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34F70">
            <w:pPr>
              <w:widowControl/>
              <w:spacing w:line="360" w:lineRule="exac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第六条</w:t>
            </w:r>
            <w:r>
              <w:rPr>
                <w:rFonts w:hint="eastAsia" w:ascii="宋体" w:hAnsi="宋体" w:cs="宋体"/>
                <w:color w:val="000000"/>
                <w:kern w:val="0"/>
                <w:sz w:val="24"/>
              </w:rPr>
              <w:t>　市、旗区人民政府应当加强对本行政区域内绿色矿山建设管理工作的领导，统筹做好绿色矿山建设工作。</w:t>
            </w:r>
            <w:r>
              <w:rPr>
                <w:rFonts w:hint="eastAsia" w:ascii="宋体" w:hAnsi="宋体" w:cs="宋体"/>
                <w:color w:val="000000"/>
                <w:kern w:val="0"/>
                <w:sz w:val="24"/>
              </w:rPr>
              <w:br w:type="textWrapping"/>
            </w:r>
            <w:r>
              <w:rPr>
                <w:rFonts w:hint="eastAsia" w:ascii="宋体" w:hAnsi="宋体" w:cs="宋体"/>
                <w:color w:val="000000"/>
                <w:kern w:val="0"/>
                <w:sz w:val="24"/>
              </w:rPr>
              <w:t>　　市、旗区人民政府自然资源主管部门对绿色矿山建实施统一监督管理。生态环境、能源、财政、水设利、林业和草原、应急管理等相关部门依照各自职责对绿色矿山建设实施监督管理。</w:t>
            </w:r>
            <w:r>
              <w:rPr>
                <w:rFonts w:hint="eastAsia" w:ascii="宋体" w:hAnsi="宋体" w:cs="宋体"/>
                <w:color w:val="000000"/>
                <w:kern w:val="0"/>
                <w:sz w:val="24"/>
              </w:rPr>
              <w:br w:type="textWrapping"/>
            </w:r>
            <w:r>
              <w:rPr>
                <w:rFonts w:hint="eastAsia" w:ascii="宋体" w:hAnsi="宋体" w:cs="宋体"/>
                <w:color w:val="000000"/>
                <w:kern w:val="0"/>
                <w:sz w:val="24"/>
              </w:rPr>
              <w:t>　　苏木乡镇人民政府、街道办事处应当协助旗区人民政府有关部门对本辖区内的绿色矿山建设履行监督管理职责。</w:t>
            </w:r>
            <w:r>
              <w:rPr>
                <w:rFonts w:hint="eastAsia" w:ascii="宋体" w:hAnsi="宋体" w:cs="宋体"/>
                <w:color w:val="000000"/>
                <w:kern w:val="0"/>
                <w:sz w:val="24"/>
              </w:rPr>
              <w:br w:type="textWrapping"/>
            </w:r>
            <w:r>
              <w:rPr>
                <w:rFonts w:hint="eastAsia" w:ascii="宋体" w:hAnsi="宋体" w:cs="宋体"/>
                <w:color w:val="000000"/>
                <w:kern w:val="0"/>
                <w:sz w:val="24"/>
              </w:rPr>
              <w:t>　　嘎查、村（居）民委员会应当协助苏木乡镇人民政府、街道办事处做好绿色矿山建设相关工作。</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014D">
            <w:pPr>
              <w:widowControl/>
              <w:spacing w:line="360" w:lineRule="exact"/>
              <w:rPr>
                <w:rFonts w:hint="eastAsia" w:ascii="宋体" w:hAnsi="宋体" w:cs="宋体"/>
                <w:color w:val="FF0000"/>
                <w:kern w:val="0"/>
                <w:sz w:val="24"/>
                <w:lang w:val="en-US" w:eastAsia="zh-CN"/>
              </w:rPr>
            </w:pPr>
            <w:r>
              <w:rPr>
                <w:rFonts w:hint="eastAsia" w:ascii="宋体" w:hAnsi="宋体" w:cs="宋体"/>
                <w:color w:val="000000"/>
                <w:kern w:val="0"/>
                <w:sz w:val="24"/>
              </w:rPr>
              <w:t xml:space="preserve"> </w:t>
            </w:r>
            <w:r>
              <w:rPr>
                <w:rFonts w:hint="eastAsia" w:ascii="宋体" w:hAnsi="宋体" w:cs="宋体"/>
                <w:color w:val="000000"/>
                <w:kern w:val="0"/>
                <w:sz w:val="24"/>
                <w:lang w:val="en-US" w:eastAsia="zh-CN"/>
              </w:rPr>
              <w:t xml:space="preserve">  </w:t>
            </w:r>
            <w:r>
              <w:rPr>
                <w:rFonts w:ascii="黑体" w:hAnsi="宋体" w:eastAsia="黑体" w:cs="黑体"/>
                <w:color w:val="000000"/>
                <w:kern w:val="0"/>
                <w:sz w:val="24"/>
              </w:rPr>
              <w:t>第六条</w:t>
            </w:r>
            <w:r>
              <w:rPr>
                <w:rFonts w:hint="eastAsia" w:ascii="宋体" w:hAnsi="宋体" w:cs="宋体"/>
                <w:color w:val="000000"/>
                <w:kern w:val="0"/>
                <w:sz w:val="24"/>
              </w:rPr>
              <w:t>　市、旗区人民政府应当加强对本行政区域内绿色矿山建设管理工作的领导，统筹做好绿色矿山建设工作。</w:t>
            </w:r>
            <w:r>
              <w:rPr>
                <w:rFonts w:hint="eastAsia" w:ascii="宋体" w:hAnsi="宋体" w:cs="宋体"/>
                <w:color w:val="000000"/>
                <w:kern w:val="0"/>
                <w:sz w:val="24"/>
              </w:rPr>
              <w:br w:type="textWrapping"/>
            </w:r>
            <w:r>
              <w:rPr>
                <w:rFonts w:hint="eastAsia" w:ascii="宋体" w:hAnsi="宋体" w:cs="宋体"/>
                <w:color w:val="000000"/>
                <w:kern w:val="0"/>
                <w:sz w:val="24"/>
                <w:lang w:val="en-US" w:eastAsia="zh-CN"/>
              </w:rPr>
              <w:t xml:space="preserve">    </w:t>
            </w:r>
            <w:r>
              <w:rPr>
                <w:rFonts w:hint="eastAsia" w:ascii="宋体" w:hAnsi="宋体" w:cs="宋体"/>
                <w:color w:val="FF0000"/>
                <w:kern w:val="0"/>
                <w:sz w:val="24"/>
              </w:rPr>
              <w:t>市、旗区人民政府及其相关部门应当</w:t>
            </w:r>
            <w:r>
              <w:rPr>
                <w:rFonts w:hint="eastAsia" w:ascii="宋体" w:hAnsi="宋体" w:cs="宋体"/>
                <w:color w:val="FF0000"/>
                <w:kern w:val="0"/>
                <w:sz w:val="24"/>
                <w:lang w:val="en-US" w:eastAsia="zh-CN"/>
              </w:rPr>
              <w:t>完善绿色矿山建设激励政策，积极落实国家和自治区绿色矿山支持政策；</w:t>
            </w:r>
          </w:p>
          <w:p w14:paraId="24C7CDE7">
            <w:pPr>
              <w:widowControl/>
              <w:spacing w:line="360" w:lineRule="exact"/>
              <w:ind w:firstLine="480" w:firstLineChars="200"/>
              <w:rPr>
                <w:rFonts w:hint="eastAsia" w:ascii="宋体" w:hAnsi="宋体" w:cs="宋体"/>
                <w:color w:val="FF0000"/>
                <w:kern w:val="0"/>
                <w:sz w:val="24"/>
                <w:lang w:val="en-US" w:eastAsia="zh-CN"/>
              </w:rPr>
            </w:pPr>
            <w:r>
              <w:rPr>
                <w:rFonts w:hint="eastAsia" w:ascii="宋体" w:hAnsi="宋体" w:cs="宋体"/>
                <w:color w:val="000000"/>
                <w:kern w:val="0"/>
                <w:sz w:val="24"/>
              </w:rPr>
              <w:t>市、旗区人民政府自然资源主管部门对绿色矿山建实施统一监督管理。生态环境、能源、财政、水设利、林业和草原、应急管理等相关部门依照各自职责对绿色矿山建设实施监督管理。</w:t>
            </w:r>
            <w:r>
              <w:rPr>
                <w:rFonts w:hint="eastAsia" w:ascii="宋体" w:hAnsi="宋体" w:cs="宋体"/>
                <w:color w:val="000000"/>
                <w:kern w:val="0"/>
                <w:sz w:val="24"/>
              </w:rPr>
              <w:br w:type="textWrapping"/>
            </w:r>
            <w:r>
              <w:rPr>
                <w:rFonts w:hint="eastAsia" w:ascii="宋体" w:hAnsi="宋体" w:cs="宋体"/>
                <w:color w:val="000000"/>
                <w:kern w:val="0"/>
                <w:sz w:val="24"/>
              </w:rPr>
              <w:t>　　苏木乡镇人民政府、街道办事处应当协助旗区人民政府有关部门对本辖区内的绿色矿山建设履行监督管理职责。</w:t>
            </w:r>
            <w:r>
              <w:rPr>
                <w:rFonts w:hint="eastAsia" w:ascii="宋体" w:hAnsi="宋体" w:cs="宋体"/>
                <w:color w:val="000000"/>
                <w:kern w:val="0"/>
                <w:sz w:val="24"/>
              </w:rPr>
              <w:br w:type="textWrapping"/>
            </w:r>
            <w:r>
              <w:rPr>
                <w:rFonts w:hint="eastAsia" w:ascii="宋体" w:hAnsi="宋体" w:cs="宋体"/>
                <w:color w:val="000000"/>
                <w:kern w:val="0"/>
                <w:sz w:val="24"/>
              </w:rPr>
              <w:t>　　嘎查、村（居）民委员会应当协助苏木乡镇人民政府、街道办事处做好绿色矿山建设相关工作。</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3F7C">
            <w:pPr>
              <w:widowControl/>
              <w:spacing w:line="360" w:lineRule="exact"/>
              <w:rPr>
                <w:rFonts w:ascii="宋体" w:hAnsi="宋体" w:cs="宋体"/>
                <w:color w:val="000000"/>
                <w:sz w:val="24"/>
              </w:rPr>
            </w:pPr>
            <w:r>
              <w:rPr>
                <w:rFonts w:hint="eastAsia" w:ascii="宋体" w:hAnsi="宋体" w:cs="宋体"/>
                <w:color w:val="000000"/>
                <w:kern w:val="0"/>
                <w:sz w:val="24"/>
                <w:lang w:val="en-US" w:eastAsia="zh-CN"/>
              </w:rPr>
              <w:t>《自然资源部 生态环境部 财政部 国家市场监督管理总局 国家金融监督管理总局 中国证券监督管理委员会 国家林业和草原局关于进一步加强绿色矿山建设的通知》（自然资规〔2024〕1号）；《自治区自然资源厅等12个厅局关于支持绿色矿山建设的若干政策措施》（内自然资字〔2024〕581号）</w:t>
            </w:r>
          </w:p>
        </w:tc>
      </w:tr>
      <w:tr w14:paraId="32023119">
        <w:tblPrEx>
          <w:tblCellMar>
            <w:top w:w="0" w:type="dxa"/>
            <w:left w:w="108" w:type="dxa"/>
            <w:bottom w:w="0" w:type="dxa"/>
            <w:right w:w="108" w:type="dxa"/>
          </w:tblCellMar>
        </w:tblPrEx>
        <w:trPr>
          <w:trHeight w:val="553"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B92E">
            <w:pPr>
              <w:widowControl/>
              <w:spacing w:line="360" w:lineRule="exac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第七条</w:t>
            </w:r>
            <w:r>
              <w:rPr>
                <w:rFonts w:hint="eastAsia" w:ascii="宋体" w:hAnsi="宋体" w:cs="宋体"/>
                <w:color w:val="000000"/>
                <w:kern w:val="0"/>
                <w:sz w:val="24"/>
              </w:rPr>
              <w:t>　市、旗区人民政府及其相关部门应当广泛宣传绿色矿山建设，提高群众对绿色矿山建设的认识水平和参与程度，营造良好的舆论宣传氛围。</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DDC7">
            <w:pPr>
              <w:widowControl/>
              <w:spacing w:line="360" w:lineRule="exac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5E13">
            <w:pPr>
              <w:widowControl/>
              <w:spacing w:line="360" w:lineRule="exact"/>
              <w:rPr>
                <w:rFonts w:ascii="宋体" w:hAnsi="宋体" w:cs="宋体"/>
                <w:color w:val="000000"/>
                <w:sz w:val="24"/>
              </w:rPr>
            </w:pPr>
          </w:p>
        </w:tc>
      </w:tr>
      <w:tr w14:paraId="0D032193">
        <w:tblPrEx>
          <w:tblCellMar>
            <w:top w:w="0" w:type="dxa"/>
            <w:left w:w="108" w:type="dxa"/>
            <w:bottom w:w="0" w:type="dxa"/>
            <w:right w:w="108" w:type="dxa"/>
          </w:tblCellMar>
        </w:tblPrEx>
        <w:trPr>
          <w:trHeight w:val="63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EBB9">
            <w:pPr>
              <w:widowControl/>
              <w:spacing w:line="360" w:lineRule="exact"/>
              <w:jc w:val="center"/>
              <w:textAlignment w:val="top"/>
              <w:rPr>
                <w:rFonts w:ascii="黑体" w:hAnsi="宋体" w:eastAsia="黑体" w:cs="黑体"/>
                <w:color w:val="000000"/>
                <w:sz w:val="24"/>
              </w:rPr>
            </w:pPr>
            <w:r>
              <w:rPr>
                <w:rFonts w:ascii="黑体" w:hAnsi="宋体" w:eastAsia="黑体" w:cs="黑体"/>
                <w:color w:val="000000"/>
                <w:kern w:val="0"/>
                <w:sz w:val="24"/>
              </w:rPr>
              <w:t xml:space="preserve">         第二章　绿色矿山建设</w:t>
            </w:r>
            <w:r>
              <w:rPr>
                <w:rFonts w:ascii="黑体" w:hAnsi="宋体" w:eastAsia="黑体" w:cs="黑体"/>
                <w:color w:val="000000"/>
                <w:kern w:val="0"/>
                <w:sz w:val="24"/>
              </w:rPr>
              <w:br w:type="textWrapping"/>
            </w:r>
            <w:r>
              <w:rPr>
                <w:rFonts w:ascii="黑体" w:hAnsi="宋体" w:eastAsia="黑体" w:cs="黑体"/>
                <w:color w:val="000000"/>
                <w:kern w:val="0"/>
                <w:sz w:val="24"/>
              </w:rPr>
              <w:t xml:space="preserve">   第一节　矿产资源开发利用与节能减排</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1471">
            <w:pPr>
              <w:widowControl/>
              <w:spacing w:line="360" w:lineRule="exac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6FBD">
            <w:pPr>
              <w:widowControl/>
              <w:spacing w:line="360" w:lineRule="exact"/>
              <w:rPr>
                <w:rFonts w:ascii="宋体" w:hAnsi="宋体" w:cs="宋体"/>
                <w:color w:val="000000"/>
                <w:sz w:val="24"/>
              </w:rPr>
            </w:pPr>
          </w:p>
        </w:tc>
      </w:tr>
      <w:tr w14:paraId="06114592">
        <w:tblPrEx>
          <w:tblCellMar>
            <w:top w:w="0" w:type="dxa"/>
            <w:left w:w="108" w:type="dxa"/>
            <w:bottom w:w="0" w:type="dxa"/>
            <w:right w:w="108" w:type="dxa"/>
          </w:tblCellMar>
        </w:tblPrEx>
        <w:trPr>
          <w:trHeight w:val="283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8AA0">
            <w:pPr>
              <w:widowControl/>
              <w:spacing w:line="360" w:lineRule="exac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第八条</w:t>
            </w:r>
            <w:r>
              <w:rPr>
                <w:rFonts w:hint="eastAsia" w:ascii="宋体" w:hAnsi="宋体" w:cs="宋体"/>
                <w:color w:val="000000"/>
                <w:kern w:val="0"/>
                <w:sz w:val="24"/>
              </w:rPr>
              <w:t>　矿产资源开发应当与环境保护、资源保护、城乡建设相协调，推广应用绿色开采技术，最大限度减少对自然环境的扰动和破坏。</w:t>
            </w:r>
            <w:r>
              <w:rPr>
                <w:rFonts w:hint="eastAsia" w:ascii="宋体" w:hAnsi="宋体" w:cs="宋体"/>
                <w:color w:val="000000"/>
                <w:kern w:val="0"/>
                <w:sz w:val="24"/>
              </w:rPr>
              <w:br w:type="textWrapping"/>
            </w:r>
            <w:r>
              <w:rPr>
                <w:rFonts w:hint="eastAsia" w:ascii="宋体" w:hAnsi="宋体" w:cs="宋体"/>
                <w:color w:val="000000"/>
                <w:kern w:val="0"/>
                <w:sz w:val="24"/>
              </w:rPr>
              <w:t>　</w:t>
            </w:r>
            <w:r>
              <w:rPr>
                <w:rFonts w:hint="eastAsia" w:ascii="宋体" w:hAnsi="宋体" w:cs="宋体"/>
                <w:color w:val="FF0000"/>
                <w:kern w:val="0"/>
                <w:sz w:val="24"/>
              </w:rPr>
              <w:t>　</w:t>
            </w:r>
            <w:r>
              <w:rPr>
                <w:rFonts w:hint="eastAsia" w:ascii="宋体" w:hAnsi="宋体" w:cs="宋体"/>
                <w:kern w:val="0"/>
                <w:sz w:val="24"/>
                <w:u w:val="none"/>
              </w:rPr>
              <w:t>矿产资源开发应当达到开发利用方案中的开采回采率、采矿贫化率、选矿回收率、矿山水循环利用率和土地复垦率等指标。</w:t>
            </w:r>
            <w:r>
              <w:rPr>
                <w:rFonts w:hint="eastAsia" w:ascii="宋体" w:hAnsi="宋体" w:cs="宋体"/>
                <w:color w:val="FF0000"/>
                <w:kern w:val="0"/>
                <w:sz w:val="24"/>
              </w:rPr>
              <w:br w:type="textWrapping"/>
            </w:r>
            <w:r>
              <w:rPr>
                <w:rFonts w:hint="eastAsia" w:ascii="宋体" w:hAnsi="宋体" w:cs="宋体"/>
                <w:color w:val="000000"/>
                <w:kern w:val="0"/>
                <w:sz w:val="24"/>
              </w:rPr>
              <w:t>　　共伴生矿产资源应当综合开发利用，按照减量化、再利用、资源化的原则，科学利用固体废弃物、废水等。</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99D9">
            <w:pPr>
              <w:pStyle w:val="2"/>
              <w:ind w:firstLine="480"/>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E1D6">
            <w:pPr>
              <w:widowControl/>
              <w:spacing w:line="360" w:lineRule="exact"/>
              <w:rPr>
                <w:rFonts w:ascii="宋体" w:hAnsi="宋体" w:cs="宋体"/>
                <w:color w:val="000000"/>
                <w:sz w:val="24"/>
              </w:rPr>
            </w:pPr>
          </w:p>
        </w:tc>
      </w:tr>
      <w:tr w14:paraId="47210230">
        <w:tblPrEx>
          <w:tblCellMar>
            <w:top w:w="0" w:type="dxa"/>
            <w:left w:w="108" w:type="dxa"/>
            <w:bottom w:w="0" w:type="dxa"/>
            <w:right w:w="108" w:type="dxa"/>
          </w:tblCellMar>
        </w:tblPrEx>
        <w:trPr>
          <w:trHeight w:val="126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567F">
            <w:pPr>
              <w:widowControl/>
              <w:spacing w:line="360" w:lineRule="exac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第九条</w:t>
            </w:r>
            <w:r>
              <w:rPr>
                <w:rFonts w:hint="eastAsia" w:ascii="宋体" w:hAnsi="宋体" w:cs="宋体"/>
                <w:color w:val="000000"/>
                <w:kern w:val="0"/>
                <w:sz w:val="24"/>
              </w:rPr>
              <w:t>　采矿权人在矿山开采、选矿中应当建立生产全过程能耗核算体系，采取节能减排措施，减少单位产品能耗、物耗、水耗，相关指标应当符合国家限额要求。</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5441">
            <w:pPr>
              <w:widowControl/>
              <w:spacing w:line="360" w:lineRule="exac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F4CB">
            <w:pPr>
              <w:widowControl/>
              <w:spacing w:line="360" w:lineRule="exact"/>
              <w:rPr>
                <w:rFonts w:ascii="宋体" w:hAnsi="宋体" w:cs="宋体"/>
                <w:color w:val="000000"/>
                <w:sz w:val="24"/>
              </w:rPr>
            </w:pPr>
          </w:p>
        </w:tc>
      </w:tr>
      <w:tr w14:paraId="27DFA019">
        <w:tblPrEx>
          <w:tblCellMar>
            <w:top w:w="0" w:type="dxa"/>
            <w:left w:w="108" w:type="dxa"/>
            <w:bottom w:w="0" w:type="dxa"/>
            <w:right w:w="108" w:type="dxa"/>
          </w:tblCellMar>
        </w:tblPrEx>
        <w:trPr>
          <w:trHeight w:val="220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ACB4">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第十条</w:t>
            </w:r>
            <w:r>
              <w:rPr>
                <w:rFonts w:hint="eastAsia" w:ascii="宋体" w:hAnsi="宋体" w:cs="宋体"/>
                <w:color w:val="000000"/>
                <w:kern w:val="0"/>
                <w:sz w:val="24"/>
              </w:rPr>
              <w:t>　露天煤矿采煤作业、排土场占地、矿坑水疏排等应当符合相关设计要求，废渣、矸石、尾矿等处置应当符合安全、环保等相关规定。</w:t>
            </w:r>
            <w:r>
              <w:rPr>
                <w:rFonts w:hint="eastAsia" w:ascii="宋体" w:hAnsi="宋体" w:cs="宋体"/>
                <w:color w:val="000000"/>
                <w:kern w:val="0"/>
                <w:sz w:val="24"/>
              </w:rPr>
              <w:br w:type="textWrapping"/>
            </w:r>
            <w:r>
              <w:rPr>
                <w:rFonts w:hint="eastAsia" w:ascii="宋体" w:hAnsi="宋体" w:cs="宋体"/>
                <w:color w:val="000000"/>
                <w:kern w:val="0"/>
                <w:sz w:val="24"/>
              </w:rPr>
              <w:t>　　露天煤矿应当建设规范完备的水循环处理设施和矿区排水系统，循环使用矿坑水。采掘场有旧巷火区或者开采容易自燃的煤层，应当采取灭火措施并设置煤层消防设施。</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28DA">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C1CB">
            <w:pPr>
              <w:widowControl/>
              <w:spacing w:line="360" w:lineRule="exact"/>
              <w:rPr>
                <w:rFonts w:ascii="宋体" w:hAnsi="宋体" w:cs="宋体"/>
                <w:color w:val="000000"/>
                <w:sz w:val="24"/>
              </w:rPr>
            </w:pPr>
          </w:p>
        </w:tc>
      </w:tr>
      <w:tr w14:paraId="2050699D">
        <w:tblPrEx>
          <w:tblCellMar>
            <w:top w:w="0" w:type="dxa"/>
            <w:left w:w="108" w:type="dxa"/>
            <w:bottom w:w="0" w:type="dxa"/>
            <w:right w:w="108" w:type="dxa"/>
          </w:tblCellMar>
        </w:tblPrEx>
        <w:trPr>
          <w:trHeight w:val="821"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37702">
            <w:pPr>
              <w:widowControl/>
              <w:spacing w:line="360" w:lineRule="exact"/>
              <w:textAlignment w:val="top"/>
              <w:rPr>
                <w:rFonts w:ascii="宋体" w:hAnsi="宋体" w:cs="宋体"/>
                <w:color w:val="000000"/>
                <w:kern w:val="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第十一条</w:t>
            </w:r>
            <w:r>
              <w:rPr>
                <w:rFonts w:hint="eastAsia" w:ascii="宋体" w:hAnsi="宋体" w:cs="宋体"/>
                <w:color w:val="000000"/>
                <w:kern w:val="0"/>
                <w:sz w:val="24"/>
              </w:rPr>
              <w:t>　井工煤矿开采应当减少对</w:t>
            </w:r>
          </w:p>
          <w:p w14:paraId="58D27A5C">
            <w:pPr>
              <w:widowControl/>
              <w:spacing w:line="360" w:lineRule="exact"/>
              <w:textAlignment w:val="top"/>
              <w:rPr>
                <w:rFonts w:ascii="宋体" w:hAnsi="宋体" w:cs="宋体"/>
                <w:color w:val="000000"/>
                <w:sz w:val="24"/>
              </w:rPr>
            </w:pPr>
            <w:r>
              <w:rPr>
                <w:rFonts w:hint="eastAsia" w:ascii="宋体" w:hAnsi="宋体" w:cs="宋体"/>
                <w:color w:val="000000"/>
                <w:kern w:val="0"/>
                <w:sz w:val="24"/>
              </w:rPr>
              <w:t>区域原始地质和水资源的破坏。新建、改扩建井工煤矿在环境敏感地区、生态脆弱地区、井下强含水层、地下水严重渗漏区域适宜采用充填开采、保水开采的，应当采用充填开采、保水开采。已建生产井工煤矿，鼓励采用充填开采、保水开采等开采技术。</w:t>
            </w:r>
            <w:r>
              <w:rPr>
                <w:rFonts w:hint="eastAsia" w:ascii="宋体" w:hAnsi="宋体" w:cs="宋体"/>
                <w:color w:val="000000"/>
                <w:kern w:val="0"/>
                <w:sz w:val="24"/>
              </w:rPr>
              <w:br w:type="textWrapping"/>
            </w:r>
            <w:r>
              <w:rPr>
                <w:rFonts w:hint="eastAsia" w:ascii="宋体" w:hAnsi="宋体" w:cs="宋体"/>
                <w:color w:val="000000"/>
                <w:kern w:val="0"/>
                <w:sz w:val="24"/>
              </w:rPr>
              <w:t>　　充填开采应当优先利用煤矸石等固体废物充填采空区，减少矸石升井和地面堆存。充填区域的选择及充填开采方案应当与</w:t>
            </w:r>
            <w:r>
              <w:rPr>
                <w:rFonts w:hint="eastAsia" w:ascii="宋体" w:hAnsi="宋体" w:cs="宋体"/>
                <w:kern w:val="0"/>
                <w:sz w:val="24"/>
                <w:u w:val="single"/>
              </w:rPr>
              <w:t>矿山地质环境保护与土地复垦</w:t>
            </w:r>
            <w:r>
              <w:rPr>
                <w:rFonts w:hint="eastAsia" w:ascii="宋体" w:hAnsi="宋体" w:cs="宋体"/>
                <w:kern w:val="0"/>
                <w:sz w:val="24"/>
                <w:u w:val="none"/>
              </w:rPr>
              <w:t>方案</w:t>
            </w:r>
            <w:r>
              <w:rPr>
                <w:rFonts w:hint="eastAsia" w:ascii="宋体" w:hAnsi="宋体" w:cs="宋体"/>
                <w:color w:val="000000"/>
                <w:kern w:val="0"/>
                <w:sz w:val="24"/>
              </w:rPr>
              <w:t>相结合。</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2B06">
            <w:pPr>
              <w:widowControl/>
              <w:spacing w:line="360" w:lineRule="exact"/>
              <w:rPr>
                <w:rFonts w:ascii="宋体" w:hAnsi="宋体" w:cs="宋体"/>
                <w:color w:val="000000"/>
                <w:sz w:val="24"/>
              </w:rPr>
            </w:pPr>
            <w:r>
              <w:rPr>
                <w:rFonts w:hint="eastAsia" w:ascii="宋体" w:hAnsi="宋体" w:cs="宋体"/>
                <w:color w:val="000000"/>
                <w:kern w:val="0"/>
                <w:sz w:val="24"/>
              </w:rPr>
              <w:t xml:space="preserve"> </w:t>
            </w:r>
            <w:r>
              <w:rPr>
                <w:rFonts w:hint="eastAsia" w:ascii="宋体" w:hAnsi="宋体" w:cs="宋体"/>
                <w:color w:val="000000"/>
                <w:kern w:val="0"/>
                <w:sz w:val="24"/>
                <w:lang w:val="en-US" w:eastAsia="zh-CN"/>
              </w:rPr>
              <w:t xml:space="preserve">  </w:t>
            </w:r>
            <w:r>
              <w:rPr>
                <w:rFonts w:ascii="黑体" w:hAnsi="宋体" w:eastAsia="黑体" w:cs="黑体"/>
                <w:color w:val="000000"/>
                <w:kern w:val="0"/>
                <w:sz w:val="24"/>
              </w:rPr>
              <w:t>第十一条</w:t>
            </w:r>
            <w:r>
              <w:rPr>
                <w:rFonts w:hint="eastAsia" w:ascii="宋体" w:hAnsi="宋体" w:cs="宋体"/>
                <w:color w:val="000000"/>
                <w:kern w:val="0"/>
                <w:sz w:val="24"/>
              </w:rPr>
              <w:t>　井工煤矿开采应当减少对区域原始地质和水资源的破坏。新建、改扩建井工煤矿在环境敏感地区、生态脆弱地区、井下强含水层、地下水严重渗漏区域适宜采用充填开采、保水开采的，应当采用充填开采、保水开采。已建生产井工煤矿，鼓励采用充填开采、保水开采等开采技术。</w:t>
            </w:r>
            <w:r>
              <w:rPr>
                <w:rFonts w:hint="eastAsia" w:ascii="宋体" w:hAnsi="宋体" w:cs="宋体"/>
                <w:color w:val="000000"/>
                <w:kern w:val="0"/>
                <w:sz w:val="24"/>
              </w:rPr>
              <w:br w:type="textWrapping"/>
            </w:r>
            <w:r>
              <w:rPr>
                <w:rFonts w:hint="eastAsia" w:ascii="宋体" w:hAnsi="宋体" w:cs="宋体"/>
                <w:color w:val="000000"/>
                <w:kern w:val="0"/>
                <w:sz w:val="24"/>
              </w:rPr>
              <w:t>　　充填开采应当优先利用煤矸石等固体废物充填采空区，减少矸石升井和地面堆存。充填区域的选择及充填开采方案应当与</w:t>
            </w:r>
            <w:r>
              <w:rPr>
                <w:rFonts w:hint="eastAsia" w:ascii="宋体" w:hAnsi="宋体" w:cs="宋体"/>
                <w:color w:val="FF0000"/>
                <w:kern w:val="0"/>
                <w:sz w:val="24"/>
              </w:rPr>
              <w:t>矿区生态修复</w:t>
            </w:r>
            <w:r>
              <w:rPr>
                <w:rFonts w:hint="eastAsia" w:ascii="宋体" w:hAnsi="宋体" w:cs="宋体"/>
                <w:color w:val="000000"/>
                <w:kern w:val="0"/>
                <w:sz w:val="24"/>
              </w:rPr>
              <w:t>方案相结合。</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6DD0">
            <w:pPr>
              <w:widowControl/>
              <w:spacing w:line="360" w:lineRule="exact"/>
              <w:rPr>
                <w:rFonts w:ascii="宋体" w:hAnsi="宋体" w:cs="宋体"/>
                <w:color w:val="000000"/>
                <w:sz w:val="24"/>
              </w:rPr>
            </w:pPr>
            <w:r>
              <w:rPr>
                <w:rFonts w:hint="eastAsia" w:ascii="宋体" w:hAnsi="宋体" w:cs="宋体"/>
                <w:color w:val="000000"/>
                <w:sz w:val="24"/>
              </w:rPr>
              <w:t>《矿产资源法》第四十六条 开采矿产资源前，采矿权人应当依照法律、法规和国务院自然资源主管部门的规定以及矿业权出让合同编制矿区生态修复方案，随开采方案报原矿权出让部门批准。</w:t>
            </w:r>
          </w:p>
        </w:tc>
      </w:tr>
      <w:tr w14:paraId="75D2BEBF">
        <w:tblPrEx>
          <w:tblCellMar>
            <w:top w:w="0" w:type="dxa"/>
            <w:left w:w="108" w:type="dxa"/>
            <w:bottom w:w="0" w:type="dxa"/>
            <w:right w:w="108" w:type="dxa"/>
          </w:tblCellMar>
        </w:tblPrEx>
        <w:trPr>
          <w:trHeight w:val="189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B3E9">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第十二条</w:t>
            </w:r>
            <w:r>
              <w:rPr>
                <w:rFonts w:hint="eastAsia" w:ascii="宋体" w:hAnsi="宋体" w:cs="宋体"/>
                <w:color w:val="000000"/>
                <w:kern w:val="0"/>
                <w:sz w:val="24"/>
              </w:rPr>
              <w:t>　井工煤矿开采过程中产生的矿井水应当清洁处理后综合利用，优先用于矿区补充用水、周边地区生产生态用水，加强洗煤废水循环利用，提高矿井水综合利用率。未经处理的矿井水不得外排。矿井水确需排放的，应当达到国家、自治区规定的排放标准。</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FCED">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47F8">
            <w:pPr>
              <w:widowControl/>
              <w:spacing w:line="360" w:lineRule="exact"/>
              <w:jc w:val="left"/>
              <w:rPr>
                <w:rFonts w:ascii="宋体" w:hAnsi="宋体" w:cs="宋体"/>
                <w:color w:val="000000"/>
                <w:sz w:val="24"/>
              </w:rPr>
            </w:pPr>
          </w:p>
        </w:tc>
      </w:tr>
      <w:tr w14:paraId="3EC1EBDC">
        <w:tblPrEx>
          <w:tblCellMar>
            <w:top w:w="0" w:type="dxa"/>
            <w:left w:w="108" w:type="dxa"/>
            <w:bottom w:w="0" w:type="dxa"/>
            <w:right w:w="108" w:type="dxa"/>
          </w:tblCellMar>
        </w:tblPrEx>
        <w:trPr>
          <w:trHeight w:val="157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5F767">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第十三条</w:t>
            </w:r>
            <w:r>
              <w:rPr>
                <w:rFonts w:hint="eastAsia" w:ascii="宋体" w:hAnsi="宋体" w:cs="宋体"/>
                <w:color w:val="000000"/>
                <w:kern w:val="0"/>
                <w:sz w:val="24"/>
              </w:rPr>
              <w:t>　煤炭开采企业应当对煤系地层高岭土等共伴生矿产资源进行综合评价，制定煤与共伴生矿产资源综合利用方案，保证共伴生资源综合利用率不低于矿产资源开发利用方案设计的指标。</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65F9">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E756">
            <w:pPr>
              <w:widowControl/>
              <w:spacing w:line="360" w:lineRule="exact"/>
              <w:jc w:val="left"/>
              <w:rPr>
                <w:rFonts w:ascii="宋体" w:hAnsi="宋体" w:cs="宋体"/>
                <w:color w:val="000000"/>
                <w:sz w:val="24"/>
              </w:rPr>
            </w:pPr>
          </w:p>
        </w:tc>
      </w:tr>
      <w:tr w14:paraId="61BDB7A5">
        <w:tblPrEx>
          <w:tblCellMar>
            <w:top w:w="0" w:type="dxa"/>
            <w:left w:w="108" w:type="dxa"/>
            <w:bottom w:w="0" w:type="dxa"/>
            <w:right w:w="108" w:type="dxa"/>
          </w:tblCellMar>
        </w:tblPrEx>
        <w:trPr>
          <w:trHeight w:val="409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4DED">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第十四条</w:t>
            </w:r>
            <w:r>
              <w:rPr>
                <w:rFonts w:hint="eastAsia" w:ascii="宋体" w:hAnsi="宋体" w:cs="宋体"/>
                <w:color w:val="000000"/>
                <w:kern w:val="0"/>
                <w:sz w:val="24"/>
              </w:rPr>
              <w:t>　煤炭开采企业应当制定煤矸石综合利用方案，并报当地生态环境、工业和信息化主管部门备案。鼓励煤炭开采企业或者其他综合利用单位采取井下充填、露天采坑回填、发电、生产建筑材料、制取化工产品、筑路、土地复垦等方式对煤矸石进行科学合理利用。</w:t>
            </w:r>
            <w:r>
              <w:rPr>
                <w:rFonts w:hint="eastAsia" w:ascii="宋体" w:hAnsi="宋体" w:cs="宋体"/>
                <w:color w:val="000000"/>
                <w:kern w:val="0"/>
                <w:sz w:val="24"/>
              </w:rPr>
              <w:br w:type="textWrapping"/>
            </w:r>
            <w:r>
              <w:rPr>
                <w:rFonts w:hint="eastAsia" w:ascii="宋体" w:hAnsi="宋体" w:cs="宋体"/>
                <w:color w:val="000000"/>
                <w:kern w:val="0"/>
                <w:sz w:val="24"/>
              </w:rPr>
              <w:t>　　新建、改扩建煤矿以及选煤厂禁止建设永久性煤矸石堆放场（库）。确需建设临时性堆放场（库）的，其占地规模、选址应当与煤炭生产和洗选加工能力相匹配。煤矸石临时性堆放场（库）选址、设计、建设以及运行管理，应当符合国家、自治区一般工业固体废物污染控制标准和要求。</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69C6">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2020">
            <w:pPr>
              <w:widowControl/>
              <w:spacing w:line="360" w:lineRule="exact"/>
              <w:jc w:val="left"/>
              <w:rPr>
                <w:rFonts w:ascii="宋体" w:hAnsi="宋体" w:cs="宋体"/>
                <w:color w:val="000000"/>
                <w:sz w:val="24"/>
              </w:rPr>
            </w:pPr>
          </w:p>
        </w:tc>
      </w:tr>
      <w:tr w14:paraId="604243CE">
        <w:tblPrEx>
          <w:tblCellMar>
            <w:top w:w="0" w:type="dxa"/>
            <w:left w:w="108" w:type="dxa"/>
            <w:bottom w:w="0" w:type="dxa"/>
            <w:right w:w="108" w:type="dxa"/>
          </w:tblCellMar>
        </w:tblPrEx>
        <w:trPr>
          <w:trHeight w:val="857"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CFD24">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第十五条</w:t>
            </w:r>
            <w:r>
              <w:rPr>
                <w:rFonts w:hint="eastAsia" w:ascii="宋体" w:hAnsi="宋体" w:cs="宋体"/>
                <w:color w:val="000000"/>
                <w:kern w:val="0"/>
                <w:sz w:val="24"/>
              </w:rPr>
              <w:t>　石油天然气开采企业应当根据油气资源赋存状况、生态环境特征等条件，科学合理确定开发方案。废液、废气、固体废物应当进行无害化处置。生产过程中的采出水应当清洁处理后循环利用，不能循环利用的应当达标排放、回注或者采取其他有效利用方式。</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4641">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AE605">
            <w:pPr>
              <w:widowControl/>
              <w:spacing w:line="360" w:lineRule="exact"/>
              <w:jc w:val="left"/>
              <w:rPr>
                <w:rFonts w:ascii="宋体" w:hAnsi="宋体" w:cs="宋体"/>
                <w:color w:val="000000"/>
                <w:sz w:val="24"/>
              </w:rPr>
            </w:pPr>
          </w:p>
        </w:tc>
      </w:tr>
      <w:tr w14:paraId="369A5680">
        <w:tblPrEx>
          <w:tblCellMar>
            <w:top w:w="0" w:type="dxa"/>
            <w:left w:w="108" w:type="dxa"/>
            <w:bottom w:w="0" w:type="dxa"/>
            <w:right w:w="108" w:type="dxa"/>
          </w:tblCellMar>
        </w:tblPrEx>
        <w:trPr>
          <w:trHeight w:val="94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E1550">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第十六条</w:t>
            </w:r>
            <w:r>
              <w:rPr>
                <w:rFonts w:hint="eastAsia" w:ascii="宋体" w:hAnsi="宋体" w:cs="宋体"/>
                <w:color w:val="000000"/>
                <w:kern w:val="0"/>
                <w:sz w:val="24"/>
              </w:rPr>
              <w:t>　化工类矿山开采应当采用绿色选矿（或加工）工艺技术和节能省电设备。生产废水处理后用作生产补充水，减少新水摄取量。</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109E">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6E35">
            <w:pPr>
              <w:widowControl/>
              <w:spacing w:line="360" w:lineRule="exact"/>
              <w:jc w:val="left"/>
              <w:rPr>
                <w:rFonts w:ascii="宋体" w:hAnsi="宋体" w:cs="宋体"/>
                <w:color w:val="000000"/>
                <w:sz w:val="24"/>
              </w:rPr>
            </w:pPr>
          </w:p>
        </w:tc>
      </w:tr>
      <w:tr w14:paraId="3A24F5ED">
        <w:tblPrEx>
          <w:tblCellMar>
            <w:top w:w="0" w:type="dxa"/>
            <w:left w:w="108" w:type="dxa"/>
            <w:bottom w:w="0" w:type="dxa"/>
            <w:right w:w="108" w:type="dxa"/>
          </w:tblCellMar>
        </w:tblPrEx>
        <w:trPr>
          <w:trHeight w:val="31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B9168">
            <w:pPr>
              <w:widowControl/>
              <w:spacing w:line="360" w:lineRule="exact"/>
              <w:jc w:val="center"/>
              <w:textAlignment w:val="center"/>
              <w:rPr>
                <w:rFonts w:ascii="黑体" w:hAnsi="宋体" w:eastAsia="黑体" w:cs="黑体"/>
                <w:color w:val="000000"/>
                <w:sz w:val="24"/>
              </w:rPr>
            </w:pPr>
            <w:r>
              <w:rPr>
                <w:rFonts w:ascii="黑体" w:hAnsi="宋体" w:eastAsia="黑体" w:cs="黑体"/>
                <w:color w:val="000000"/>
                <w:kern w:val="0"/>
                <w:sz w:val="24"/>
              </w:rPr>
              <w:t>第二节　矿山环境保护与生态修复</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61F9">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85C8">
            <w:pPr>
              <w:widowControl/>
              <w:spacing w:line="360" w:lineRule="exact"/>
              <w:jc w:val="left"/>
              <w:rPr>
                <w:rFonts w:ascii="宋体" w:hAnsi="宋体" w:cs="宋体"/>
                <w:color w:val="000000"/>
                <w:sz w:val="24"/>
              </w:rPr>
            </w:pPr>
          </w:p>
        </w:tc>
      </w:tr>
      <w:tr w14:paraId="6643068B">
        <w:tblPrEx>
          <w:tblCellMar>
            <w:top w:w="0" w:type="dxa"/>
            <w:left w:w="108" w:type="dxa"/>
            <w:bottom w:w="0" w:type="dxa"/>
            <w:right w:w="108" w:type="dxa"/>
          </w:tblCellMar>
        </w:tblPrEx>
        <w:trPr>
          <w:trHeight w:val="157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C1EB3">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第十七条</w:t>
            </w:r>
            <w:r>
              <w:rPr>
                <w:rFonts w:hint="eastAsia" w:ascii="宋体" w:hAnsi="宋体" w:cs="宋体"/>
                <w:color w:val="000000"/>
                <w:kern w:val="0"/>
                <w:sz w:val="24"/>
              </w:rPr>
              <w:t>　采矿权人应当按照谁破坏谁</w:t>
            </w:r>
            <w:r>
              <w:rPr>
                <w:rFonts w:hint="eastAsia" w:ascii="宋体" w:hAnsi="宋体" w:cs="宋体"/>
                <w:kern w:val="0"/>
                <w:sz w:val="24"/>
                <w:u w:val="single"/>
              </w:rPr>
              <w:t>治理</w:t>
            </w:r>
            <w:r>
              <w:rPr>
                <w:rFonts w:hint="eastAsia" w:ascii="宋体" w:hAnsi="宋体" w:cs="宋体"/>
                <w:color w:val="000000"/>
                <w:kern w:val="0"/>
                <w:sz w:val="24"/>
              </w:rPr>
              <w:t>、边开采边</w:t>
            </w:r>
            <w:r>
              <w:rPr>
                <w:rFonts w:hint="eastAsia" w:ascii="宋体" w:hAnsi="宋体" w:cs="宋体"/>
                <w:kern w:val="0"/>
                <w:sz w:val="24"/>
                <w:u w:val="single"/>
              </w:rPr>
              <w:t>治理</w:t>
            </w:r>
            <w:r>
              <w:rPr>
                <w:rFonts w:hint="eastAsia" w:ascii="宋体" w:hAnsi="宋体" w:cs="宋体"/>
                <w:color w:val="000000"/>
                <w:kern w:val="0"/>
                <w:sz w:val="24"/>
              </w:rPr>
              <w:t>的原则，履行</w:t>
            </w:r>
            <w:r>
              <w:rPr>
                <w:rFonts w:hint="eastAsia" w:ascii="宋体" w:hAnsi="宋体" w:cs="宋体"/>
                <w:color w:val="000000"/>
                <w:kern w:val="0"/>
                <w:sz w:val="24"/>
                <w:u w:val="single"/>
              </w:rPr>
              <w:t>矿山地质环境保护与土地复垦</w:t>
            </w:r>
            <w:r>
              <w:rPr>
                <w:rFonts w:hint="eastAsia" w:ascii="宋体" w:hAnsi="宋体" w:cs="宋体"/>
                <w:color w:val="000000"/>
                <w:kern w:val="0"/>
                <w:sz w:val="24"/>
              </w:rPr>
              <w:t>义务。矿山环保、水土保持、</w:t>
            </w:r>
            <w:r>
              <w:rPr>
                <w:rFonts w:hint="eastAsia" w:ascii="宋体" w:hAnsi="宋体" w:cs="宋体"/>
                <w:color w:val="000000"/>
                <w:kern w:val="0"/>
                <w:sz w:val="24"/>
                <w:u w:val="single"/>
              </w:rPr>
              <w:t>地质环境</w:t>
            </w:r>
            <w:r>
              <w:rPr>
                <w:rFonts w:hint="eastAsia" w:ascii="宋体" w:hAnsi="宋体" w:cs="宋体"/>
                <w:kern w:val="0"/>
                <w:sz w:val="24"/>
                <w:u w:val="single"/>
              </w:rPr>
              <w:t>治理</w:t>
            </w:r>
            <w:r>
              <w:rPr>
                <w:rFonts w:hint="eastAsia" w:ascii="宋体" w:hAnsi="宋体" w:cs="宋体"/>
                <w:color w:val="000000"/>
                <w:kern w:val="0"/>
                <w:sz w:val="24"/>
              </w:rPr>
              <w:t>等工程应当与主体工程同时设计、同时施工、同时管理使用。</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68BD5">
            <w:pPr>
              <w:widowControl/>
              <w:spacing w:line="360" w:lineRule="exact"/>
              <w:ind w:firstLine="480" w:firstLineChars="200"/>
              <w:jc w:val="left"/>
              <w:rPr>
                <w:rFonts w:ascii="宋体" w:hAnsi="宋体" w:cs="宋体"/>
                <w:color w:val="000000"/>
                <w:sz w:val="24"/>
              </w:rPr>
            </w:pPr>
            <w:r>
              <w:rPr>
                <w:rFonts w:ascii="黑体" w:hAnsi="宋体" w:eastAsia="黑体" w:cs="黑体"/>
                <w:color w:val="000000"/>
                <w:kern w:val="0"/>
                <w:sz w:val="24"/>
              </w:rPr>
              <w:t>第十七条</w:t>
            </w:r>
            <w:r>
              <w:rPr>
                <w:rFonts w:hint="eastAsia" w:ascii="宋体" w:hAnsi="宋体" w:cs="宋体"/>
                <w:color w:val="000000"/>
                <w:kern w:val="0"/>
                <w:sz w:val="24"/>
              </w:rPr>
              <w:t>　采矿权人应当按照谁破坏谁</w:t>
            </w:r>
            <w:r>
              <w:rPr>
                <w:rFonts w:hint="eastAsia" w:ascii="宋体" w:hAnsi="宋体" w:cs="宋体"/>
                <w:color w:val="FF0000"/>
                <w:kern w:val="0"/>
                <w:sz w:val="24"/>
              </w:rPr>
              <w:t>修复</w:t>
            </w:r>
            <w:r>
              <w:rPr>
                <w:rFonts w:hint="eastAsia" w:ascii="宋体" w:hAnsi="宋体" w:cs="宋体"/>
                <w:color w:val="000000"/>
                <w:kern w:val="0"/>
                <w:sz w:val="24"/>
              </w:rPr>
              <w:t>、边开采边</w:t>
            </w:r>
            <w:r>
              <w:rPr>
                <w:rFonts w:hint="eastAsia" w:ascii="宋体" w:hAnsi="宋体" w:cs="宋体"/>
                <w:color w:val="FF0000"/>
                <w:kern w:val="0"/>
                <w:sz w:val="24"/>
              </w:rPr>
              <w:t>修复</w:t>
            </w:r>
            <w:r>
              <w:rPr>
                <w:rFonts w:hint="eastAsia" w:ascii="宋体" w:hAnsi="宋体" w:cs="宋体"/>
                <w:color w:val="000000"/>
                <w:kern w:val="0"/>
                <w:sz w:val="24"/>
              </w:rPr>
              <w:t>的原则，履行</w:t>
            </w:r>
            <w:r>
              <w:rPr>
                <w:rFonts w:hint="eastAsia" w:ascii="宋体" w:hAnsi="宋体" w:cs="宋体"/>
                <w:color w:val="FF0000"/>
                <w:kern w:val="0"/>
                <w:sz w:val="24"/>
              </w:rPr>
              <w:t>矿区生态修复</w:t>
            </w:r>
            <w:r>
              <w:rPr>
                <w:rFonts w:hint="eastAsia" w:ascii="宋体" w:hAnsi="宋体" w:cs="宋体"/>
                <w:color w:val="000000"/>
                <w:kern w:val="0"/>
                <w:sz w:val="24"/>
              </w:rPr>
              <w:t>义务。矿山环保、水土保持、</w:t>
            </w:r>
            <w:r>
              <w:rPr>
                <w:rFonts w:hint="eastAsia" w:ascii="宋体" w:hAnsi="宋体" w:cs="宋体"/>
                <w:color w:val="FF0000"/>
                <w:kern w:val="0"/>
                <w:sz w:val="24"/>
              </w:rPr>
              <w:t>生态修复</w:t>
            </w:r>
            <w:r>
              <w:rPr>
                <w:rFonts w:hint="eastAsia" w:ascii="宋体" w:hAnsi="宋体" w:cs="宋体"/>
                <w:color w:val="000000"/>
                <w:kern w:val="0"/>
                <w:sz w:val="24"/>
              </w:rPr>
              <w:t>等工程应当与主体工程同时设计、同时施工、同时管理使用。</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530E2">
            <w:pPr>
              <w:widowControl/>
              <w:spacing w:line="360" w:lineRule="exact"/>
              <w:jc w:val="left"/>
              <w:rPr>
                <w:rFonts w:ascii="宋体" w:hAnsi="宋体" w:cs="宋体"/>
                <w:color w:val="000000"/>
                <w:sz w:val="24"/>
              </w:rPr>
            </w:pPr>
            <w:r>
              <w:rPr>
                <w:rFonts w:hint="eastAsia" w:ascii="宋体" w:hAnsi="宋体" w:cs="宋体"/>
                <w:color w:val="000000"/>
                <w:sz w:val="24"/>
              </w:rPr>
              <w:t>《矿产资源法》第四十六条 开采矿产资源前，采矿权人应当依照法律、法规和国务院自然资源主管部门的规定以及矿业权出让合同编制矿区生态修复方案，随开采方案报原矿权出让部门批准。</w:t>
            </w:r>
          </w:p>
        </w:tc>
      </w:tr>
      <w:tr w14:paraId="4C658B13">
        <w:tblPrEx>
          <w:tblCellMar>
            <w:top w:w="0" w:type="dxa"/>
            <w:left w:w="108" w:type="dxa"/>
            <w:bottom w:w="0" w:type="dxa"/>
            <w:right w:w="108" w:type="dxa"/>
          </w:tblCellMar>
        </w:tblPrEx>
        <w:trPr>
          <w:trHeight w:val="126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FF301">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第十八条</w:t>
            </w:r>
            <w:r>
              <w:rPr>
                <w:rFonts w:hint="eastAsia" w:ascii="宋体" w:hAnsi="宋体" w:cs="宋体"/>
                <w:color w:val="000000"/>
                <w:kern w:val="0"/>
                <w:sz w:val="24"/>
              </w:rPr>
              <w:t>　采矿权人应当按照环境影响评价报告、水土保持方案、</w:t>
            </w:r>
            <w:r>
              <w:rPr>
                <w:rFonts w:hint="eastAsia" w:ascii="宋体" w:hAnsi="宋体" w:cs="宋体"/>
                <w:kern w:val="0"/>
                <w:sz w:val="24"/>
                <w:u w:val="single"/>
              </w:rPr>
              <w:t>矿山地质环境保护与土地复垦</w:t>
            </w:r>
            <w:r>
              <w:rPr>
                <w:rFonts w:hint="eastAsia" w:ascii="宋体" w:hAnsi="宋体" w:cs="宋体"/>
                <w:kern w:val="0"/>
                <w:sz w:val="24"/>
                <w:u w:val="none"/>
              </w:rPr>
              <w:t>方案</w:t>
            </w:r>
            <w:r>
              <w:rPr>
                <w:rFonts w:hint="eastAsia" w:ascii="宋体" w:hAnsi="宋体" w:cs="宋体"/>
                <w:color w:val="000000"/>
                <w:kern w:val="0"/>
                <w:sz w:val="24"/>
              </w:rPr>
              <w:t>、涉河防洪评价报告等要求开展矿区环境治理。</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486D">
            <w:pPr>
              <w:widowControl/>
              <w:spacing w:line="360" w:lineRule="exact"/>
              <w:jc w:val="left"/>
              <w:rPr>
                <w:rFonts w:ascii="宋体" w:hAnsi="宋体" w:cs="宋体"/>
                <w:color w:val="000000"/>
                <w:sz w:val="24"/>
              </w:rPr>
            </w:pPr>
            <w:r>
              <w:rPr>
                <w:rFonts w:hint="eastAsia" w:ascii="宋体" w:hAnsi="宋体" w:cs="宋体"/>
                <w:color w:val="000000"/>
                <w:kern w:val="0"/>
                <w:sz w:val="24"/>
              </w:rPr>
              <w:t xml:space="preserve">  </w:t>
            </w:r>
            <w:r>
              <w:rPr>
                <w:rFonts w:hint="eastAsia" w:ascii="宋体" w:hAnsi="宋体" w:cs="宋体"/>
                <w:color w:val="000000"/>
                <w:kern w:val="0"/>
                <w:sz w:val="24"/>
                <w:lang w:val="en-US" w:eastAsia="zh-CN"/>
              </w:rPr>
              <w:t xml:space="preserve">  </w:t>
            </w:r>
            <w:r>
              <w:rPr>
                <w:rFonts w:ascii="黑体" w:hAnsi="宋体" w:eastAsia="黑体" w:cs="黑体"/>
                <w:color w:val="000000"/>
                <w:kern w:val="0"/>
                <w:sz w:val="24"/>
              </w:rPr>
              <w:t>第十八条</w:t>
            </w:r>
            <w:r>
              <w:rPr>
                <w:rFonts w:hint="eastAsia" w:ascii="宋体" w:hAnsi="宋体" w:cs="宋体"/>
                <w:color w:val="000000"/>
                <w:kern w:val="0"/>
                <w:sz w:val="24"/>
              </w:rPr>
              <w:t>　采矿权人应当按照环境影响评价报告、水土保持方案、</w:t>
            </w:r>
            <w:r>
              <w:rPr>
                <w:rFonts w:hint="eastAsia" w:ascii="宋体" w:hAnsi="宋体" w:cs="宋体"/>
                <w:color w:val="FF0000"/>
                <w:kern w:val="0"/>
                <w:sz w:val="24"/>
              </w:rPr>
              <w:t>矿区生态修复</w:t>
            </w:r>
            <w:r>
              <w:rPr>
                <w:rFonts w:hint="eastAsia" w:ascii="宋体" w:hAnsi="宋体" w:cs="宋体"/>
                <w:color w:val="000000"/>
                <w:kern w:val="0"/>
                <w:sz w:val="24"/>
              </w:rPr>
              <w:t>方案、涉河防洪评价报告等要求开展矿区环境治理。</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F66DC">
            <w:pPr>
              <w:widowControl/>
              <w:spacing w:line="360" w:lineRule="exact"/>
              <w:jc w:val="left"/>
              <w:rPr>
                <w:rFonts w:ascii="宋体" w:hAnsi="宋体" w:cs="宋体"/>
                <w:color w:val="000000"/>
                <w:sz w:val="24"/>
              </w:rPr>
            </w:pPr>
            <w:r>
              <w:rPr>
                <w:rFonts w:hint="eastAsia" w:ascii="宋体" w:hAnsi="宋体" w:cs="宋体"/>
                <w:color w:val="000000"/>
                <w:sz w:val="24"/>
              </w:rPr>
              <w:t>《矿产资源法》第四十六条 开采矿产资源前，采矿权人应当依照法律、法规和国务院自然资源主管部门的规定以及矿业权出让合同编制矿区生态修复方案，随开采方案报原矿权出让部门批准。</w:t>
            </w:r>
          </w:p>
        </w:tc>
      </w:tr>
      <w:tr w14:paraId="33D5201F">
        <w:tblPrEx>
          <w:tblCellMar>
            <w:top w:w="0" w:type="dxa"/>
            <w:left w:w="108" w:type="dxa"/>
            <w:bottom w:w="0" w:type="dxa"/>
            <w:right w:w="108" w:type="dxa"/>
          </w:tblCellMar>
        </w:tblPrEx>
        <w:trPr>
          <w:trHeight w:val="406"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E9C7E">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第十九条</w:t>
            </w:r>
            <w:r>
              <w:rPr>
                <w:rFonts w:hint="eastAsia" w:ascii="宋体" w:hAnsi="宋体" w:cs="宋体"/>
                <w:color w:val="000000"/>
                <w:kern w:val="0"/>
                <w:sz w:val="24"/>
              </w:rPr>
              <w:t>　采矿权人应当加强矿产开采、储存、装卸、运输过程中的污染防治。</w:t>
            </w:r>
            <w:r>
              <w:rPr>
                <w:rFonts w:hint="eastAsia" w:ascii="宋体" w:hAnsi="宋体" w:cs="宋体"/>
                <w:color w:val="000000"/>
                <w:kern w:val="0"/>
                <w:sz w:val="24"/>
              </w:rPr>
              <w:br w:type="textWrapping"/>
            </w:r>
            <w:r>
              <w:rPr>
                <w:rFonts w:hint="eastAsia" w:ascii="宋体" w:hAnsi="宋体" w:cs="宋体"/>
                <w:color w:val="000000"/>
                <w:kern w:val="0"/>
                <w:sz w:val="24"/>
              </w:rPr>
              <w:t>　　鼓励煤炭企业建设铁路专用线，提高铁路运输能力，降低公路运输比例。</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EA57">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3E7F">
            <w:pPr>
              <w:widowControl/>
              <w:spacing w:line="360" w:lineRule="exact"/>
              <w:jc w:val="left"/>
              <w:rPr>
                <w:rFonts w:ascii="宋体" w:hAnsi="宋体" w:cs="宋体"/>
                <w:color w:val="000000"/>
                <w:sz w:val="24"/>
              </w:rPr>
            </w:pPr>
          </w:p>
        </w:tc>
      </w:tr>
      <w:tr w14:paraId="2CC0A1A4">
        <w:tblPrEx>
          <w:tblCellMar>
            <w:top w:w="0" w:type="dxa"/>
            <w:left w:w="108" w:type="dxa"/>
            <w:bottom w:w="0" w:type="dxa"/>
            <w:right w:w="108" w:type="dxa"/>
          </w:tblCellMar>
        </w:tblPrEx>
        <w:trPr>
          <w:trHeight w:val="189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1068D">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第二十条</w:t>
            </w:r>
            <w:r>
              <w:rPr>
                <w:rFonts w:hint="eastAsia" w:ascii="宋体" w:hAnsi="宋体" w:cs="宋体"/>
                <w:color w:val="000000"/>
                <w:kern w:val="0"/>
                <w:sz w:val="24"/>
              </w:rPr>
              <w:t>　严格限制在草原上新建露天矿山。确需在草原上新建露天矿山的，由市、旗区人民政府根据地区资源环境承载力评价结果，综合论证露天矿山开发必要性，并依据论证结果向登记机关出具意见。现有井工煤矿变更开采方式为露天开采占用草原的，参照上述规定执行。</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44D8">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410B2">
            <w:pPr>
              <w:widowControl/>
              <w:spacing w:line="360" w:lineRule="exact"/>
              <w:jc w:val="left"/>
              <w:rPr>
                <w:rFonts w:ascii="宋体" w:hAnsi="宋体" w:cs="宋体"/>
                <w:color w:val="000000"/>
                <w:sz w:val="24"/>
              </w:rPr>
            </w:pPr>
          </w:p>
        </w:tc>
      </w:tr>
      <w:tr w14:paraId="466F4ACA">
        <w:tblPrEx>
          <w:tblCellMar>
            <w:top w:w="0" w:type="dxa"/>
            <w:left w:w="108" w:type="dxa"/>
            <w:bottom w:w="0" w:type="dxa"/>
            <w:right w:w="108" w:type="dxa"/>
          </w:tblCellMar>
        </w:tblPrEx>
        <w:trPr>
          <w:trHeight w:val="315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CDC09">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第二十一条</w:t>
            </w:r>
            <w:r>
              <w:rPr>
                <w:rFonts w:hint="eastAsia" w:ascii="宋体" w:hAnsi="宋体" w:cs="宋体"/>
                <w:color w:val="000000"/>
                <w:kern w:val="0"/>
                <w:sz w:val="24"/>
              </w:rPr>
              <w:t>　采矿权人生产建设活动应当采取下列措施防治水土流失：</w:t>
            </w:r>
            <w:r>
              <w:rPr>
                <w:rFonts w:hint="eastAsia" w:ascii="宋体" w:hAnsi="宋体" w:cs="宋体"/>
                <w:color w:val="000000"/>
                <w:kern w:val="0"/>
                <w:sz w:val="24"/>
              </w:rPr>
              <w:br w:type="textWrapping"/>
            </w:r>
            <w:r>
              <w:rPr>
                <w:rFonts w:hint="eastAsia" w:ascii="宋体" w:hAnsi="宋体" w:cs="宋体"/>
                <w:color w:val="000000"/>
                <w:kern w:val="0"/>
                <w:sz w:val="24"/>
              </w:rPr>
              <w:t>　　（一）控制和减少对原地貌、地表植被、水系的扰动和损毁，保护原地表植被、表土及结皮层、沙壳与地衣等；</w:t>
            </w:r>
            <w:r>
              <w:rPr>
                <w:rFonts w:hint="eastAsia" w:ascii="宋体" w:hAnsi="宋体" w:cs="宋体"/>
                <w:color w:val="000000"/>
                <w:kern w:val="0"/>
                <w:sz w:val="24"/>
              </w:rPr>
              <w:br w:type="textWrapping"/>
            </w:r>
            <w:r>
              <w:rPr>
                <w:rFonts w:hint="eastAsia" w:ascii="宋体" w:hAnsi="宋体" w:cs="宋体"/>
                <w:color w:val="000000"/>
                <w:kern w:val="0"/>
                <w:sz w:val="24"/>
              </w:rPr>
              <w:t>　　（二）开挖、填筑、排弃的场地应当采取拦挡、护坡、截（排）水等防护措施；</w:t>
            </w:r>
            <w:r>
              <w:rPr>
                <w:rFonts w:hint="eastAsia" w:ascii="宋体" w:hAnsi="宋体" w:cs="宋体"/>
                <w:color w:val="000000"/>
                <w:kern w:val="0"/>
                <w:sz w:val="24"/>
              </w:rPr>
              <w:br w:type="textWrapping"/>
            </w:r>
            <w:r>
              <w:rPr>
                <w:rFonts w:hint="eastAsia" w:ascii="宋体" w:hAnsi="宋体" w:cs="宋体"/>
                <w:color w:val="000000"/>
                <w:kern w:val="0"/>
                <w:sz w:val="24"/>
              </w:rPr>
              <w:t>　　（三）土建施工过程中应当采取苫盖、拦挡等水土保持临时防护措施；</w:t>
            </w:r>
            <w:r>
              <w:rPr>
                <w:rFonts w:hint="eastAsia" w:ascii="宋体" w:hAnsi="宋体" w:cs="宋体"/>
                <w:color w:val="000000"/>
                <w:kern w:val="0"/>
                <w:sz w:val="24"/>
              </w:rPr>
              <w:br w:type="textWrapping"/>
            </w:r>
            <w:r>
              <w:rPr>
                <w:rFonts w:hint="eastAsia" w:ascii="宋体" w:hAnsi="宋体" w:cs="宋体"/>
                <w:color w:val="000000"/>
                <w:kern w:val="0"/>
                <w:sz w:val="24"/>
              </w:rPr>
              <w:t>　　（四）其他水土流失防治措施。</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0D3D0">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FE5B2">
            <w:pPr>
              <w:widowControl/>
              <w:spacing w:line="360" w:lineRule="exact"/>
              <w:jc w:val="left"/>
              <w:rPr>
                <w:rFonts w:ascii="宋体" w:hAnsi="宋体" w:cs="宋体"/>
                <w:color w:val="000000"/>
                <w:sz w:val="24"/>
              </w:rPr>
            </w:pPr>
          </w:p>
        </w:tc>
      </w:tr>
      <w:tr w14:paraId="4B57610D">
        <w:tblPrEx>
          <w:tblCellMar>
            <w:top w:w="0" w:type="dxa"/>
            <w:left w:w="108" w:type="dxa"/>
            <w:bottom w:w="0" w:type="dxa"/>
            <w:right w:w="108" w:type="dxa"/>
          </w:tblCellMar>
        </w:tblPrEx>
        <w:trPr>
          <w:trHeight w:val="4166"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C906">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第二十二条</w:t>
            </w:r>
            <w:r>
              <w:rPr>
                <w:rFonts w:hint="eastAsia" w:ascii="宋体" w:hAnsi="宋体" w:cs="宋体"/>
                <w:color w:val="000000"/>
                <w:kern w:val="0"/>
                <w:sz w:val="24"/>
              </w:rPr>
              <w:t>　采矿权人应当按照国家、自治区规定时间，在矿山闭坑前或者闭坑后</w:t>
            </w:r>
            <w:r>
              <w:rPr>
                <w:rFonts w:hint="eastAsia" w:ascii="宋体" w:hAnsi="宋体" w:cs="宋体"/>
                <w:kern w:val="0"/>
                <w:sz w:val="24"/>
                <w:u w:val="single"/>
              </w:rPr>
              <w:t>完成矿区生态修复工作</w:t>
            </w:r>
            <w:r>
              <w:rPr>
                <w:rFonts w:hint="eastAsia" w:ascii="宋体" w:hAnsi="宋体" w:cs="宋体"/>
                <w:color w:val="000000"/>
                <w:kern w:val="0"/>
                <w:sz w:val="24"/>
              </w:rPr>
              <w:t>。</w:t>
            </w:r>
            <w:r>
              <w:rPr>
                <w:rFonts w:hint="eastAsia" w:ascii="宋体" w:hAnsi="宋体" w:cs="宋体"/>
                <w:color w:val="000000"/>
                <w:kern w:val="0"/>
                <w:sz w:val="24"/>
                <w:u w:val="single"/>
              </w:rPr>
              <w:t>矿业</w:t>
            </w:r>
            <w:r>
              <w:rPr>
                <w:rFonts w:hint="eastAsia" w:ascii="宋体" w:hAnsi="宋体" w:cs="宋体"/>
                <w:color w:val="000000"/>
                <w:kern w:val="0"/>
                <w:sz w:val="24"/>
              </w:rPr>
              <w:t>权人的生态修复义务不因</w:t>
            </w:r>
            <w:r>
              <w:rPr>
                <w:rFonts w:hint="eastAsia" w:ascii="宋体" w:hAnsi="宋体" w:cs="宋体"/>
                <w:color w:val="000000"/>
                <w:kern w:val="0"/>
                <w:sz w:val="24"/>
                <w:u w:val="single"/>
              </w:rPr>
              <w:t>矿业</w:t>
            </w:r>
            <w:r>
              <w:rPr>
                <w:rFonts w:hint="eastAsia" w:ascii="宋体" w:hAnsi="宋体" w:cs="宋体"/>
                <w:color w:val="000000"/>
                <w:kern w:val="0"/>
                <w:sz w:val="24"/>
              </w:rPr>
              <w:t>权的</w:t>
            </w:r>
            <w:r>
              <w:rPr>
                <w:rFonts w:hint="eastAsia" w:ascii="宋体" w:hAnsi="宋体" w:cs="宋体"/>
                <w:kern w:val="0"/>
                <w:sz w:val="24"/>
                <w:u w:val="single"/>
              </w:rPr>
              <w:t>灭失</w:t>
            </w:r>
            <w:r>
              <w:rPr>
                <w:rFonts w:hint="eastAsia" w:ascii="宋体" w:hAnsi="宋体" w:cs="宋体"/>
                <w:color w:val="000000"/>
                <w:kern w:val="0"/>
                <w:sz w:val="24"/>
              </w:rPr>
              <w:t>而免除。</w:t>
            </w:r>
            <w:r>
              <w:rPr>
                <w:rFonts w:hint="eastAsia" w:ascii="宋体" w:hAnsi="宋体" w:cs="宋体"/>
                <w:color w:val="000000"/>
                <w:kern w:val="0"/>
                <w:sz w:val="24"/>
              </w:rPr>
              <w:br w:type="textWrapping"/>
            </w:r>
            <w:r>
              <w:rPr>
                <w:rFonts w:hint="eastAsia" w:ascii="宋体" w:hAnsi="宋体" w:cs="宋体"/>
                <w:color w:val="000000"/>
                <w:kern w:val="0"/>
                <w:sz w:val="24"/>
              </w:rPr>
              <w:t>　　无主矿山的生态修复工作，由旗区人民政府负责。</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9D1B">
            <w:pPr>
              <w:widowControl/>
              <w:spacing w:line="360" w:lineRule="exact"/>
              <w:ind w:firstLine="480" w:firstLineChars="200"/>
              <w:jc w:val="left"/>
              <w:rPr>
                <w:rFonts w:ascii="宋体" w:hAnsi="宋体" w:cs="宋体"/>
                <w:color w:val="000000"/>
                <w:sz w:val="24"/>
              </w:rPr>
            </w:pPr>
            <w:r>
              <w:rPr>
                <w:rFonts w:ascii="黑体" w:hAnsi="宋体" w:eastAsia="黑体" w:cs="黑体"/>
                <w:color w:val="000000"/>
                <w:kern w:val="0"/>
                <w:sz w:val="24"/>
              </w:rPr>
              <w:t>第二十二条</w:t>
            </w:r>
            <w:r>
              <w:rPr>
                <w:rFonts w:hint="eastAsia" w:ascii="宋体" w:hAnsi="宋体" w:cs="宋体"/>
                <w:color w:val="000000"/>
                <w:kern w:val="0"/>
                <w:sz w:val="24"/>
              </w:rPr>
              <w:t>　采矿权人应当按照国家、自治区规定时间，在矿山闭坑前或者闭坑后的</w:t>
            </w:r>
            <w:r>
              <w:rPr>
                <w:rFonts w:hint="eastAsia" w:ascii="宋体" w:hAnsi="宋体" w:cs="宋体"/>
                <w:color w:val="FF0000"/>
                <w:kern w:val="0"/>
                <w:sz w:val="24"/>
              </w:rPr>
              <w:t>合理期限内及时修复。</w:t>
            </w:r>
            <w:r>
              <w:rPr>
                <w:rFonts w:hint="eastAsia" w:ascii="宋体" w:hAnsi="宋体" w:cs="宋体"/>
                <w:color w:val="FF0000"/>
                <w:kern w:val="0"/>
                <w:sz w:val="24"/>
                <w:lang w:val="en-US" w:eastAsia="zh-CN"/>
              </w:rPr>
              <w:t>采矿</w:t>
            </w:r>
            <w:r>
              <w:rPr>
                <w:rFonts w:hint="eastAsia" w:ascii="宋体" w:hAnsi="宋体" w:cs="宋体"/>
                <w:color w:val="000000"/>
                <w:kern w:val="0"/>
                <w:sz w:val="24"/>
              </w:rPr>
              <w:t>权人的生态修复义务不因</w:t>
            </w:r>
            <w:r>
              <w:rPr>
                <w:rFonts w:hint="eastAsia" w:ascii="宋体" w:hAnsi="宋体" w:cs="宋体"/>
                <w:color w:val="FF0000"/>
                <w:kern w:val="0"/>
                <w:sz w:val="24"/>
                <w:lang w:val="en-US" w:eastAsia="zh-CN"/>
              </w:rPr>
              <w:t>采矿</w:t>
            </w:r>
            <w:r>
              <w:rPr>
                <w:rFonts w:hint="eastAsia" w:ascii="宋体" w:hAnsi="宋体" w:cs="宋体"/>
                <w:color w:val="000000"/>
                <w:kern w:val="0"/>
                <w:sz w:val="24"/>
              </w:rPr>
              <w:t>权的</w:t>
            </w:r>
            <w:r>
              <w:rPr>
                <w:rFonts w:hint="eastAsia" w:ascii="宋体" w:hAnsi="宋体" w:cs="宋体"/>
                <w:color w:val="FF0000"/>
                <w:kern w:val="0"/>
                <w:sz w:val="24"/>
              </w:rPr>
              <w:t>消灭</w:t>
            </w:r>
            <w:r>
              <w:rPr>
                <w:rFonts w:hint="eastAsia" w:ascii="宋体" w:hAnsi="宋体" w:cs="宋体"/>
                <w:color w:val="000000"/>
                <w:kern w:val="0"/>
                <w:sz w:val="24"/>
              </w:rPr>
              <w:t>而免除。</w:t>
            </w:r>
            <w:r>
              <w:rPr>
                <w:rFonts w:hint="eastAsia" w:ascii="宋体" w:hAnsi="宋体" w:cs="宋体"/>
                <w:color w:val="000000"/>
                <w:kern w:val="0"/>
                <w:sz w:val="24"/>
              </w:rPr>
              <w:br w:type="textWrapping"/>
            </w:r>
            <w:r>
              <w:rPr>
                <w:rFonts w:hint="eastAsia" w:ascii="宋体" w:hAnsi="宋体" w:cs="宋体"/>
                <w:color w:val="000000"/>
                <w:kern w:val="0"/>
                <w:sz w:val="24"/>
              </w:rPr>
              <w:t>　　无主矿山的生态修复工作，由旗区人民政府负责。</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F5C1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40" w:firstLineChars="100"/>
              <w:jc w:val="left"/>
              <w:rPr>
                <w:rFonts w:hint="eastAsia" w:ascii="宋体" w:hAnsi="宋体" w:cs="宋体"/>
                <w:color w:val="000000"/>
                <w:sz w:val="24"/>
                <w:lang w:val="en-US" w:eastAsia="zh-CN"/>
              </w:rPr>
            </w:pPr>
            <w:r>
              <w:rPr>
                <w:rFonts w:hint="eastAsia" w:ascii="宋体" w:hAnsi="宋体" w:cs="宋体"/>
                <w:color w:val="000000"/>
                <w:sz w:val="24"/>
              </w:rPr>
              <w:t>《矿产资源法》</w:t>
            </w:r>
            <w:r>
              <w:rPr>
                <w:rFonts w:hint="eastAsia" w:ascii="宋体" w:hAnsi="宋体" w:cs="宋体"/>
                <w:color w:val="000000"/>
                <w:sz w:val="24"/>
                <w:lang w:val="en-US" w:eastAsia="zh-CN"/>
              </w:rPr>
              <w:t>第</w:t>
            </w:r>
            <w:r>
              <w:rPr>
                <w:rFonts w:hint="eastAsia" w:ascii="宋体" w:hAnsi="宋体" w:cs="宋体"/>
                <w:color w:val="000000"/>
                <w:sz w:val="24"/>
              </w:rPr>
              <w:t>四十五</w:t>
            </w:r>
            <w:r>
              <w:rPr>
                <w:rFonts w:hint="eastAsia" w:ascii="宋体" w:hAnsi="宋体" w:cs="宋体"/>
                <w:color w:val="000000"/>
                <w:sz w:val="24"/>
                <w:lang w:val="en-US" w:eastAsia="zh-CN"/>
              </w:rPr>
              <w:t>条 因开采矿产资源导致矿区生态破坏的，采矿权人应当依法履行生态修复义务。采矿权人的生态修复义务不因采矿权消灭而免除。</w:t>
            </w:r>
          </w:p>
          <w:p w14:paraId="25BFBF9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firstLineChars="200"/>
              <w:jc w:val="left"/>
              <w:rPr>
                <w:rFonts w:hint="eastAsia" w:ascii="宋体" w:hAnsi="宋体" w:eastAsia="宋体" w:cs="宋体"/>
                <w:color w:val="000000"/>
                <w:sz w:val="24"/>
                <w:lang w:eastAsia="zh-CN"/>
              </w:rPr>
            </w:pPr>
            <w:r>
              <w:rPr>
                <w:rFonts w:hint="eastAsia" w:ascii="宋体" w:hAnsi="宋体" w:cs="宋体"/>
                <w:color w:val="000000"/>
                <w:sz w:val="24"/>
                <w:lang w:val="en-US" w:eastAsia="zh-CN"/>
              </w:rPr>
              <w:t>第四十七条 采矿权人应当按照经批准的矿区生态修复方案进行矿区生态修复。能够边开采、边修复的，应当边开采、边修复；能够分区、分期修复的，应当分区、分期修复；不能边开采、边修复或者分区、分期修复的，应当在矿山闭坑前或者闭坑后的合理期限内及时修复。</w:t>
            </w:r>
          </w:p>
        </w:tc>
      </w:tr>
      <w:tr w14:paraId="70E0B104">
        <w:tblPrEx>
          <w:tblCellMar>
            <w:top w:w="0" w:type="dxa"/>
            <w:left w:w="108" w:type="dxa"/>
            <w:bottom w:w="0" w:type="dxa"/>
            <w:right w:w="108" w:type="dxa"/>
          </w:tblCellMar>
        </w:tblPrEx>
        <w:trPr>
          <w:trHeight w:val="9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52A5">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第二十三条</w:t>
            </w:r>
            <w:r>
              <w:rPr>
                <w:rFonts w:hint="eastAsia" w:ascii="宋体" w:hAnsi="宋体" w:cs="宋体"/>
                <w:color w:val="000000"/>
                <w:kern w:val="0"/>
                <w:sz w:val="24"/>
              </w:rPr>
              <w:t>　采矿权申请人或者采矿权人应当在办理建设用地申请或者采矿权申请手续时，编制</w:t>
            </w:r>
            <w:r>
              <w:rPr>
                <w:rFonts w:hint="eastAsia" w:ascii="宋体" w:hAnsi="宋体" w:cs="宋体"/>
                <w:kern w:val="0"/>
                <w:sz w:val="24"/>
                <w:u w:val="single"/>
              </w:rPr>
              <w:t>矿山地质环境保护与土地复垦</w:t>
            </w:r>
            <w:r>
              <w:rPr>
                <w:rFonts w:hint="eastAsia" w:ascii="宋体" w:hAnsi="宋体" w:cs="宋体"/>
                <w:kern w:val="0"/>
                <w:sz w:val="24"/>
                <w:u w:val="none"/>
              </w:rPr>
              <w:t>方案</w:t>
            </w:r>
            <w:r>
              <w:rPr>
                <w:rFonts w:hint="eastAsia" w:ascii="宋体" w:hAnsi="宋体" w:cs="宋体"/>
                <w:color w:val="000000"/>
                <w:kern w:val="0"/>
                <w:sz w:val="24"/>
              </w:rPr>
              <w:t>，随有关报批材料报有关自然资源主管部门审查。</w:t>
            </w:r>
            <w:r>
              <w:rPr>
                <w:rFonts w:hint="eastAsia" w:ascii="宋体" w:hAnsi="宋体" w:cs="宋体"/>
                <w:color w:val="000000"/>
                <w:kern w:val="0"/>
                <w:sz w:val="24"/>
              </w:rPr>
              <w:br w:type="textWrapping"/>
            </w:r>
            <w:r>
              <w:rPr>
                <w:rFonts w:hint="eastAsia" w:ascii="宋体" w:hAnsi="宋体" w:cs="宋体"/>
                <w:color w:val="000000"/>
                <w:kern w:val="0"/>
                <w:sz w:val="24"/>
              </w:rPr>
              <w:t>　　采矿权申请人或者采矿权人在编制</w:t>
            </w:r>
            <w:r>
              <w:rPr>
                <w:rFonts w:hint="eastAsia" w:ascii="宋体" w:hAnsi="宋体" w:cs="宋体"/>
                <w:kern w:val="0"/>
                <w:sz w:val="24"/>
                <w:u w:val="single"/>
              </w:rPr>
              <w:t>矿山地质环境保护与土地复垦</w:t>
            </w:r>
            <w:r>
              <w:rPr>
                <w:rFonts w:hint="eastAsia" w:ascii="宋体" w:hAnsi="宋体" w:cs="宋体"/>
                <w:kern w:val="0"/>
                <w:sz w:val="24"/>
                <w:u w:val="none"/>
              </w:rPr>
              <w:t>方案</w:t>
            </w:r>
            <w:r>
              <w:rPr>
                <w:rFonts w:hint="eastAsia" w:ascii="宋体" w:hAnsi="宋体" w:cs="宋体"/>
                <w:color w:val="000000"/>
                <w:kern w:val="0"/>
                <w:sz w:val="24"/>
              </w:rPr>
              <w:t>过程中，应当听取当地政府和相关权益人的意见。</w:t>
            </w:r>
            <w:r>
              <w:rPr>
                <w:rFonts w:hint="eastAsia" w:ascii="宋体" w:hAnsi="宋体" w:cs="宋体"/>
                <w:color w:val="000000"/>
                <w:kern w:val="0"/>
                <w:sz w:val="24"/>
              </w:rPr>
              <w:br w:type="textWrapping"/>
            </w:r>
            <w:r>
              <w:rPr>
                <w:rFonts w:hint="eastAsia" w:ascii="宋体" w:hAnsi="宋体" w:cs="宋体"/>
                <w:color w:val="000000"/>
                <w:kern w:val="0"/>
                <w:sz w:val="24"/>
              </w:rPr>
              <w:t>　　具体承担相应建设用地审查和采矿权审批的自然资源主管部门负责对方案进行审查。受理审查申请后，应当组织专家进行论证。</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261C">
            <w:pPr>
              <w:widowControl/>
              <w:spacing w:line="360" w:lineRule="exact"/>
              <w:jc w:val="left"/>
              <w:rPr>
                <w:rFonts w:ascii="宋体" w:hAnsi="宋体" w:cs="宋体"/>
                <w:color w:val="000000"/>
                <w:sz w:val="24"/>
              </w:rPr>
            </w:pPr>
            <w:r>
              <w:rPr>
                <w:rFonts w:hint="eastAsia" w:ascii="宋体" w:hAnsi="宋体" w:cs="宋体"/>
                <w:color w:val="000000"/>
                <w:kern w:val="0"/>
                <w:sz w:val="24"/>
              </w:rPr>
              <w:t xml:space="preserve">  </w:t>
            </w:r>
            <w:r>
              <w:rPr>
                <w:rFonts w:hint="eastAsia" w:ascii="宋体" w:hAnsi="宋体" w:cs="宋体"/>
                <w:color w:val="000000"/>
                <w:kern w:val="0"/>
                <w:sz w:val="24"/>
                <w:lang w:val="en-US" w:eastAsia="zh-CN"/>
              </w:rPr>
              <w:t xml:space="preserve"> </w:t>
            </w:r>
            <w:r>
              <w:rPr>
                <w:rFonts w:ascii="黑体" w:hAnsi="宋体" w:eastAsia="黑体" w:cs="黑体"/>
                <w:color w:val="000000"/>
                <w:kern w:val="0"/>
                <w:sz w:val="24"/>
              </w:rPr>
              <w:t>第二十三条</w:t>
            </w:r>
            <w:r>
              <w:rPr>
                <w:rFonts w:hint="eastAsia" w:ascii="宋体" w:hAnsi="宋体" w:cs="宋体"/>
                <w:color w:val="000000"/>
                <w:kern w:val="0"/>
                <w:sz w:val="24"/>
              </w:rPr>
              <w:t>　采矿权申请人或者采矿权人应当在办理建设用地申请或者采矿权申请手续时，编制</w:t>
            </w:r>
            <w:r>
              <w:rPr>
                <w:rFonts w:hint="eastAsia" w:ascii="宋体" w:hAnsi="宋体" w:cs="宋体"/>
                <w:color w:val="FF0000"/>
                <w:kern w:val="0"/>
                <w:sz w:val="24"/>
              </w:rPr>
              <w:t>矿区生态修复</w:t>
            </w:r>
            <w:r>
              <w:rPr>
                <w:rFonts w:hint="eastAsia" w:ascii="宋体" w:hAnsi="宋体" w:cs="宋体"/>
                <w:kern w:val="0"/>
                <w:sz w:val="24"/>
                <w:u w:val="none"/>
              </w:rPr>
              <w:t>方案</w:t>
            </w:r>
            <w:r>
              <w:rPr>
                <w:rFonts w:hint="eastAsia" w:ascii="宋体" w:hAnsi="宋体" w:cs="宋体"/>
                <w:color w:val="000000"/>
                <w:kern w:val="0"/>
                <w:sz w:val="24"/>
              </w:rPr>
              <w:t>，随有关报批材料报有关自然资源主管部门审查。</w:t>
            </w:r>
            <w:r>
              <w:rPr>
                <w:rFonts w:hint="eastAsia" w:ascii="宋体" w:hAnsi="宋体" w:cs="宋体"/>
                <w:color w:val="000000"/>
                <w:kern w:val="0"/>
                <w:sz w:val="24"/>
              </w:rPr>
              <w:br w:type="textWrapping"/>
            </w:r>
            <w:r>
              <w:rPr>
                <w:rFonts w:hint="eastAsia" w:ascii="宋体" w:hAnsi="宋体" w:cs="宋体"/>
                <w:color w:val="000000"/>
                <w:kern w:val="0"/>
                <w:sz w:val="24"/>
              </w:rPr>
              <w:t>　　采矿权申请人或者采矿权人在编制</w:t>
            </w:r>
            <w:r>
              <w:rPr>
                <w:rFonts w:hint="eastAsia" w:ascii="宋体" w:hAnsi="宋体" w:cs="宋体"/>
                <w:color w:val="FF0000"/>
                <w:kern w:val="0"/>
                <w:sz w:val="24"/>
              </w:rPr>
              <w:t>矿区生态修复</w:t>
            </w:r>
            <w:r>
              <w:rPr>
                <w:rFonts w:hint="eastAsia" w:ascii="宋体" w:hAnsi="宋体" w:cs="宋体"/>
                <w:kern w:val="0"/>
                <w:sz w:val="24"/>
                <w:u w:val="none"/>
              </w:rPr>
              <w:t>方案</w:t>
            </w:r>
            <w:r>
              <w:rPr>
                <w:rFonts w:hint="eastAsia" w:ascii="宋体" w:hAnsi="宋体" w:cs="宋体"/>
                <w:color w:val="000000"/>
                <w:kern w:val="0"/>
                <w:sz w:val="24"/>
              </w:rPr>
              <w:t>过程中，应当听取当地政府和相关权益人的意见。</w:t>
            </w:r>
            <w:r>
              <w:rPr>
                <w:rFonts w:hint="eastAsia" w:ascii="宋体" w:hAnsi="宋体" w:cs="宋体"/>
                <w:color w:val="000000"/>
                <w:kern w:val="0"/>
                <w:sz w:val="24"/>
              </w:rPr>
              <w:br w:type="textWrapping"/>
            </w:r>
            <w:r>
              <w:rPr>
                <w:rFonts w:hint="eastAsia" w:ascii="宋体" w:hAnsi="宋体" w:cs="宋体"/>
                <w:color w:val="000000"/>
                <w:kern w:val="0"/>
                <w:sz w:val="24"/>
              </w:rPr>
              <w:t>　　具体承担相应建设用地审查和采矿权审批的自然资源主管部门负责对方案进行审查。受理审查申请后，应当组织专家进行论证。</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C652">
            <w:pPr>
              <w:widowControl/>
              <w:spacing w:line="360" w:lineRule="exact"/>
              <w:jc w:val="left"/>
              <w:rPr>
                <w:rFonts w:ascii="宋体" w:hAnsi="宋体" w:cs="宋体"/>
                <w:b/>
                <w:bCs/>
                <w:color w:val="000000"/>
                <w:sz w:val="24"/>
              </w:rPr>
            </w:pPr>
            <w:r>
              <w:rPr>
                <w:rFonts w:hint="eastAsia" w:ascii="宋体" w:hAnsi="宋体" w:cs="宋体"/>
                <w:color w:val="000000"/>
                <w:sz w:val="24"/>
              </w:rPr>
              <w:t>《矿产资源法》第四十六条 开采矿产资源前，采矿权人应当依照法律、法规和国务院自然资源主管部门的规定以及矿业权出让合同编制矿区生态修复方案，随开采方案报原矿权出让部门批准。</w:t>
            </w:r>
          </w:p>
        </w:tc>
      </w:tr>
      <w:tr w14:paraId="2132C5E4">
        <w:tblPrEx>
          <w:tblCellMar>
            <w:top w:w="0" w:type="dxa"/>
            <w:left w:w="108" w:type="dxa"/>
            <w:bottom w:w="0" w:type="dxa"/>
            <w:right w:w="108" w:type="dxa"/>
          </w:tblCellMar>
        </w:tblPrEx>
        <w:trPr>
          <w:trHeight w:val="315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DBF1F">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第二十四条</w:t>
            </w:r>
            <w:r>
              <w:rPr>
                <w:rFonts w:hint="eastAsia" w:ascii="宋体" w:hAnsi="宋体" w:cs="宋体"/>
                <w:color w:val="000000"/>
                <w:kern w:val="0"/>
                <w:sz w:val="24"/>
              </w:rPr>
              <w:t>　采矿权人在实施土地复垦工程前，应当依据审查通过的</w:t>
            </w:r>
            <w:r>
              <w:rPr>
                <w:rFonts w:hint="eastAsia" w:ascii="宋体" w:hAnsi="宋体" w:cs="宋体"/>
                <w:kern w:val="0"/>
                <w:sz w:val="24"/>
                <w:u w:val="single"/>
              </w:rPr>
              <w:t>矿山地质环境保护与土地复垦</w:t>
            </w:r>
            <w:r>
              <w:rPr>
                <w:rFonts w:hint="eastAsia" w:ascii="宋体" w:hAnsi="宋体" w:cs="宋体"/>
                <w:kern w:val="0"/>
                <w:sz w:val="24"/>
                <w:u w:val="none"/>
              </w:rPr>
              <w:t>方案</w:t>
            </w:r>
            <w:r>
              <w:rPr>
                <w:rFonts w:hint="eastAsia" w:ascii="宋体" w:hAnsi="宋体" w:cs="宋体"/>
                <w:color w:val="000000"/>
                <w:kern w:val="0"/>
                <w:sz w:val="24"/>
              </w:rPr>
              <w:t>进行土地复垦规划设计，将</w:t>
            </w:r>
            <w:r>
              <w:rPr>
                <w:rFonts w:hint="eastAsia" w:ascii="宋体" w:hAnsi="宋体" w:cs="宋体"/>
                <w:kern w:val="0"/>
                <w:sz w:val="24"/>
                <w:u w:val="single"/>
              </w:rPr>
              <w:t>矿山地质环境保护与土地复垦</w:t>
            </w:r>
            <w:r>
              <w:rPr>
                <w:rFonts w:hint="eastAsia" w:ascii="宋体" w:hAnsi="宋体" w:cs="宋体"/>
                <w:kern w:val="0"/>
                <w:sz w:val="24"/>
                <w:u w:val="none"/>
              </w:rPr>
              <w:t>方案</w:t>
            </w:r>
            <w:r>
              <w:rPr>
                <w:rFonts w:hint="eastAsia" w:ascii="宋体" w:hAnsi="宋体" w:cs="宋体"/>
                <w:color w:val="000000"/>
                <w:kern w:val="0"/>
                <w:sz w:val="24"/>
              </w:rPr>
              <w:t>和土地复垦规划设计一并报所在地旗区人民政府自然资源主管部门备案。</w:t>
            </w:r>
            <w:r>
              <w:rPr>
                <w:rFonts w:hint="eastAsia" w:ascii="宋体" w:hAnsi="宋体" w:cs="宋体"/>
                <w:color w:val="000000"/>
                <w:kern w:val="0"/>
                <w:sz w:val="24"/>
              </w:rPr>
              <w:br w:type="textWrapping"/>
            </w:r>
            <w:r>
              <w:rPr>
                <w:rFonts w:hint="eastAsia" w:ascii="宋体" w:hAnsi="宋体" w:cs="宋体"/>
                <w:color w:val="000000"/>
                <w:kern w:val="0"/>
                <w:sz w:val="24"/>
              </w:rPr>
              <w:t>　　</w:t>
            </w:r>
            <w:bookmarkStart w:id="0" w:name="OLE_LINK2"/>
            <w:bookmarkStart w:id="1" w:name="OLE_LINK1"/>
            <w:r>
              <w:rPr>
                <w:rFonts w:hint="eastAsia" w:ascii="宋体" w:hAnsi="宋体" w:cs="宋体"/>
                <w:color w:val="000000"/>
                <w:kern w:val="0"/>
                <w:sz w:val="24"/>
              </w:rPr>
              <w:t>采矿权人应当依据审查通过的方案，开展</w:t>
            </w:r>
            <w:r>
              <w:rPr>
                <w:rFonts w:hint="eastAsia" w:ascii="宋体" w:hAnsi="宋体" w:cs="宋体"/>
                <w:kern w:val="0"/>
                <w:sz w:val="24"/>
                <w:u w:val="single"/>
              </w:rPr>
              <w:t>矿山地质环境保护与土地复垦</w:t>
            </w:r>
            <w:r>
              <w:rPr>
                <w:rFonts w:hint="eastAsia" w:ascii="宋体" w:hAnsi="宋体" w:cs="宋体"/>
                <w:color w:val="000000"/>
                <w:kern w:val="0"/>
                <w:sz w:val="24"/>
              </w:rPr>
              <w:t>工作，每年年末向市、旗区人民政府自然资源主管部门报告当年</w:t>
            </w:r>
            <w:r>
              <w:rPr>
                <w:rFonts w:hint="eastAsia" w:ascii="宋体" w:hAnsi="宋体" w:cs="宋体"/>
                <w:kern w:val="0"/>
                <w:sz w:val="24"/>
                <w:u w:val="single"/>
              </w:rPr>
              <w:t>矿山地质环境保护与土地复垦</w:t>
            </w:r>
            <w:r>
              <w:rPr>
                <w:rFonts w:hint="eastAsia" w:ascii="宋体" w:hAnsi="宋体" w:cs="宋体"/>
                <w:color w:val="000000"/>
                <w:kern w:val="0"/>
                <w:sz w:val="24"/>
              </w:rPr>
              <w:t>情况。</w:t>
            </w:r>
            <w:bookmarkEnd w:id="0"/>
            <w:bookmarkEnd w:id="1"/>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6D083">
            <w:pPr>
              <w:widowControl/>
              <w:spacing w:line="360" w:lineRule="exact"/>
              <w:ind w:firstLine="480" w:firstLineChars="200"/>
              <w:jc w:val="left"/>
              <w:rPr>
                <w:rFonts w:ascii="宋体" w:hAnsi="宋体" w:cs="宋体"/>
                <w:color w:val="000000"/>
                <w:sz w:val="24"/>
              </w:rPr>
            </w:pPr>
            <w:r>
              <w:rPr>
                <w:rFonts w:ascii="黑体" w:hAnsi="宋体" w:eastAsia="黑体" w:cs="黑体"/>
                <w:color w:val="000000"/>
                <w:kern w:val="0"/>
                <w:sz w:val="24"/>
              </w:rPr>
              <w:t>第二十四条</w:t>
            </w:r>
            <w:r>
              <w:rPr>
                <w:rFonts w:hint="eastAsia" w:ascii="宋体" w:hAnsi="宋体" w:cs="宋体"/>
                <w:color w:val="000000"/>
                <w:kern w:val="0"/>
                <w:sz w:val="24"/>
              </w:rPr>
              <w:t>　采矿权人在实施土地复垦工程前，应当依据审查通过的</w:t>
            </w:r>
            <w:r>
              <w:rPr>
                <w:rFonts w:hint="eastAsia" w:ascii="宋体" w:hAnsi="宋体" w:cs="宋体"/>
                <w:color w:val="FF0000"/>
                <w:kern w:val="0"/>
                <w:sz w:val="24"/>
              </w:rPr>
              <w:t>矿区生态修复</w:t>
            </w:r>
            <w:r>
              <w:rPr>
                <w:rFonts w:hint="eastAsia" w:ascii="宋体" w:hAnsi="宋体" w:cs="宋体"/>
                <w:kern w:val="0"/>
                <w:sz w:val="24"/>
                <w:u w:val="none"/>
              </w:rPr>
              <w:t>方案</w:t>
            </w:r>
            <w:r>
              <w:rPr>
                <w:rFonts w:hint="eastAsia" w:ascii="宋体" w:hAnsi="宋体" w:cs="宋体"/>
                <w:color w:val="000000"/>
                <w:kern w:val="0"/>
                <w:sz w:val="24"/>
              </w:rPr>
              <w:t>进行土地复垦规划设计，将</w:t>
            </w:r>
            <w:r>
              <w:rPr>
                <w:rFonts w:hint="eastAsia" w:ascii="宋体" w:hAnsi="宋体" w:cs="宋体"/>
                <w:color w:val="FF0000"/>
                <w:kern w:val="0"/>
                <w:sz w:val="24"/>
              </w:rPr>
              <w:t>矿区生态修复</w:t>
            </w:r>
            <w:r>
              <w:rPr>
                <w:rFonts w:hint="eastAsia" w:ascii="宋体" w:hAnsi="宋体" w:cs="宋体"/>
                <w:kern w:val="0"/>
                <w:sz w:val="24"/>
                <w:u w:val="none"/>
              </w:rPr>
              <w:t>方案</w:t>
            </w:r>
            <w:r>
              <w:rPr>
                <w:rFonts w:hint="eastAsia" w:ascii="宋体" w:hAnsi="宋体" w:cs="宋体"/>
                <w:color w:val="000000"/>
                <w:kern w:val="0"/>
                <w:sz w:val="24"/>
              </w:rPr>
              <w:t>和土地复垦规划设计一并报所在地旗区人民政府自然资源主管部门备案。</w:t>
            </w:r>
            <w:r>
              <w:rPr>
                <w:rFonts w:hint="eastAsia" w:ascii="宋体" w:hAnsi="宋体" w:cs="宋体"/>
                <w:color w:val="000000"/>
                <w:kern w:val="0"/>
                <w:sz w:val="24"/>
              </w:rPr>
              <w:br w:type="textWrapping"/>
            </w:r>
            <w:r>
              <w:rPr>
                <w:rFonts w:hint="eastAsia" w:ascii="宋体" w:hAnsi="宋体" w:cs="宋体"/>
                <w:color w:val="000000"/>
                <w:kern w:val="0"/>
                <w:sz w:val="24"/>
              </w:rPr>
              <w:t>　　采矿权人应当依据审查通过的方案，开展</w:t>
            </w:r>
            <w:r>
              <w:rPr>
                <w:rFonts w:hint="eastAsia" w:ascii="宋体" w:hAnsi="宋体" w:cs="宋体"/>
                <w:color w:val="FF0000"/>
                <w:kern w:val="0"/>
                <w:sz w:val="24"/>
              </w:rPr>
              <w:t>矿区生态修复</w:t>
            </w:r>
            <w:r>
              <w:rPr>
                <w:rFonts w:hint="eastAsia" w:ascii="宋体" w:hAnsi="宋体" w:cs="宋体"/>
                <w:color w:val="000000"/>
                <w:kern w:val="0"/>
                <w:sz w:val="24"/>
              </w:rPr>
              <w:t>工作，每年年末向市、旗区人民政府自然资源主管部门报告当年</w:t>
            </w:r>
            <w:r>
              <w:rPr>
                <w:rFonts w:hint="eastAsia" w:ascii="宋体" w:hAnsi="宋体" w:cs="宋体"/>
                <w:color w:val="FF0000"/>
                <w:kern w:val="0"/>
                <w:sz w:val="24"/>
              </w:rPr>
              <w:t>矿区生态修复</w:t>
            </w:r>
            <w:r>
              <w:rPr>
                <w:rFonts w:hint="eastAsia" w:ascii="宋体" w:hAnsi="宋体" w:cs="宋体"/>
                <w:color w:val="000000"/>
                <w:kern w:val="0"/>
                <w:sz w:val="24"/>
              </w:rPr>
              <w:t>情况。</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58E54">
            <w:pPr>
              <w:widowControl/>
              <w:spacing w:line="360" w:lineRule="exact"/>
              <w:jc w:val="left"/>
              <w:rPr>
                <w:rFonts w:ascii="宋体" w:hAnsi="宋体" w:cs="宋体"/>
                <w:color w:val="000000"/>
                <w:sz w:val="24"/>
              </w:rPr>
            </w:pPr>
            <w:r>
              <w:rPr>
                <w:rFonts w:hint="eastAsia" w:ascii="宋体" w:hAnsi="宋体" w:cs="宋体"/>
                <w:color w:val="000000"/>
                <w:sz w:val="24"/>
              </w:rPr>
              <w:t>《矿产资源法》第四十六条 开采矿产资源前，采矿权人应当依照法律、法规和国务院自然资源主管部门的规定以及矿业权出让合同编制矿区生态修复方案，随开采方案报原矿权出让部门批准。</w:t>
            </w:r>
          </w:p>
        </w:tc>
      </w:tr>
      <w:tr w14:paraId="15899766">
        <w:tblPrEx>
          <w:tblCellMar>
            <w:top w:w="0" w:type="dxa"/>
            <w:left w:w="108" w:type="dxa"/>
            <w:bottom w:w="0" w:type="dxa"/>
            <w:right w:w="108" w:type="dxa"/>
          </w:tblCellMar>
        </w:tblPrEx>
        <w:trPr>
          <w:trHeight w:val="693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A242">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第二十五条</w:t>
            </w:r>
            <w:r>
              <w:rPr>
                <w:rFonts w:hint="eastAsia" w:ascii="宋体" w:hAnsi="宋体" w:cs="宋体"/>
                <w:color w:val="000000"/>
                <w:kern w:val="0"/>
                <w:sz w:val="24"/>
              </w:rPr>
              <w:t>　</w:t>
            </w:r>
            <w:r>
              <w:rPr>
                <w:rFonts w:hint="eastAsia" w:ascii="宋体" w:hAnsi="宋体" w:cs="宋体"/>
                <w:color w:val="000000"/>
                <w:kern w:val="0"/>
                <w:sz w:val="24"/>
                <w:u w:val="none"/>
              </w:rPr>
              <w:t>矿山</w:t>
            </w:r>
            <w:r>
              <w:rPr>
                <w:rFonts w:hint="eastAsia" w:ascii="宋体" w:hAnsi="宋体" w:cs="宋体"/>
                <w:color w:val="000000"/>
                <w:kern w:val="0"/>
                <w:sz w:val="24"/>
              </w:rPr>
              <w:t>地质环境治理应当根据矿山所在地区的土壤、水文、水资源、生物多样性、土地利用、土地毁损等情况，分类实施复垦：</w:t>
            </w:r>
            <w:r>
              <w:rPr>
                <w:rFonts w:hint="eastAsia" w:ascii="宋体" w:hAnsi="宋体" w:cs="宋体"/>
                <w:color w:val="000000"/>
                <w:kern w:val="0"/>
                <w:sz w:val="24"/>
              </w:rPr>
              <w:br w:type="textWrapping"/>
            </w:r>
            <w:r>
              <w:rPr>
                <w:rFonts w:hint="eastAsia" w:ascii="宋体" w:hAnsi="宋体" w:cs="宋体"/>
                <w:color w:val="000000"/>
                <w:kern w:val="0"/>
                <w:sz w:val="24"/>
              </w:rPr>
              <w:t>　　（一）在水资源、表土资源相对富足地区的露天矿山，应当严格按照相关土地复垦规定，对占用或者挖损区域进行表层土剥离、保存和利用。排土（石）场应当符合设计要求，不得超高排弃。植被恢复应当符合地方林草产业规划。复垦验收的土地在土壤性质、地形坡度、水土保持、灌溉设施等方面应当满足相应土地利用类型的标准要求。</w:t>
            </w:r>
            <w:r>
              <w:rPr>
                <w:rFonts w:hint="eastAsia" w:ascii="宋体" w:hAnsi="宋体" w:cs="宋体"/>
                <w:color w:val="000000"/>
                <w:kern w:val="0"/>
                <w:sz w:val="24"/>
              </w:rPr>
              <w:br w:type="textWrapping"/>
            </w:r>
            <w:r>
              <w:rPr>
                <w:rFonts w:hint="eastAsia" w:ascii="宋体" w:hAnsi="宋体" w:cs="宋体"/>
                <w:color w:val="000000"/>
                <w:kern w:val="0"/>
                <w:sz w:val="24"/>
              </w:rPr>
              <w:t>　　（二）在水资源、表土资源相对贫乏地区的露天矿山，应当因地制宜采取工程措施和生物措施相结合的方式进行地质环境治理和土地复垦，消除地质灾害隐患。排土（石）场应当设置雨水截（排）水系统。绿化应当与周围自然环境相协调。</w:t>
            </w:r>
            <w:r>
              <w:rPr>
                <w:rFonts w:hint="eastAsia" w:ascii="宋体" w:hAnsi="宋体" w:cs="宋体"/>
                <w:color w:val="000000"/>
                <w:kern w:val="0"/>
                <w:sz w:val="24"/>
              </w:rPr>
              <w:br w:type="textWrapping"/>
            </w:r>
            <w:r>
              <w:rPr>
                <w:rFonts w:hint="eastAsia" w:ascii="宋体" w:hAnsi="宋体" w:cs="宋体"/>
                <w:color w:val="000000"/>
                <w:kern w:val="0"/>
                <w:sz w:val="24"/>
              </w:rPr>
              <w:t>　　（三）井工矿山地面塌陷</w:t>
            </w:r>
            <w:r>
              <w:rPr>
                <w:rFonts w:hint="eastAsia" w:ascii="宋体" w:hAnsi="宋体" w:cs="宋体"/>
                <w:kern w:val="0"/>
                <w:sz w:val="24"/>
                <w:u w:val="none"/>
              </w:rPr>
              <w:t>治理</w:t>
            </w:r>
            <w:r>
              <w:rPr>
                <w:rFonts w:hint="eastAsia" w:ascii="宋体" w:hAnsi="宋体" w:cs="宋体"/>
                <w:color w:val="000000"/>
                <w:kern w:val="0"/>
                <w:sz w:val="24"/>
              </w:rPr>
              <w:t>应当分类实施，暂未达到稳定状态的，应当采取监测、警示和工程措施，消除安全隐患；达到稳定状态的，应当及时采取回填平整、植被重建等综合</w:t>
            </w:r>
            <w:r>
              <w:rPr>
                <w:rFonts w:hint="eastAsia" w:ascii="宋体" w:hAnsi="宋体" w:cs="宋体"/>
                <w:kern w:val="0"/>
                <w:sz w:val="24"/>
                <w:u w:val="single"/>
              </w:rPr>
              <w:t>治理</w:t>
            </w:r>
            <w:r>
              <w:rPr>
                <w:rFonts w:hint="eastAsia" w:ascii="宋体" w:hAnsi="宋体" w:cs="宋体"/>
                <w:color w:val="000000"/>
                <w:kern w:val="0"/>
                <w:sz w:val="24"/>
              </w:rPr>
              <w:t>措施进行治理。</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7234">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6640">
            <w:pPr>
              <w:widowControl/>
              <w:spacing w:line="360" w:lineRule="exact"/>
              <w:jc w:val="left"/>
              <w:rPr>
                <w:rFonts w:ascii="宋体" w:hAnsi="宋体" w:cs="宋体"/>
                <w:color w:val="000000"/>
                <w:sz w:val="24"/>
              </w:rPr>
            </w:pPr>
          </w:p>
        </w:tc>
      </w:tr>
      <w:tr w14:paraId="41D9E9FF">
        <w:tblPrEx>
          <w:tblCellMar>
            <w:top w:w="0" w:type="dxa"/>
            <w:left w:w="108" w:type="dxa"/>
            <w:bottom w:w="0" w:type="dxa"/>
            <w:right w:w="108" w:type="dxa"/>
          </w:tblCellMar>
        </w:tblPrEx>
        <w:trPr>
          <w:trHeight w:val="189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37826">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第二十六条</w:t>
            </w:r>
            <w:r>
              <w:rPr>
                <w:rFonts w:hint="eastAsia" w:ascii="宋体" w:hAnsi="宋体" w:cs="宋体"/>
                <w:color w:val="000000"/>
                <w:kern w:val="0"/>
                <w:sz w:val="24"/>
              </w:rPr>
              <w:t>　旗区人民政府应当对相邻矿山进行集中连片治理规划。集中连片治理区应当统一治理标准和要求，优化尾坑留置和边坡处置，实现复垦土地科学利用。</w:t>
            </w:r>
            <w:r>
              <w:rPr>
                <w:rFonts w:hint="eastAsia" w:ascii="宋体" w:hAnsi="宋体" w:cs="宋体"/>
                <w:color w:val="000000"/>
                <w:kern w:val="0"/>
                <w:sz w:val="24"/>
              </w:rPr>
              <w:br w:type="textWrapping"/>
            </w:r>
            <w:r>
              <w:rPr>
                <w:rFonts w:hint="eastAsia" w:ascii="宋体" w:hAnsi="宋体" w:cs="宋体"/>
                <w:color w:val="000000"/>
                <w:kern w:val="0"/>
                <w:sz w:val="24"/>
              </w:rPr>
              <w:t>　　集中连片治理区内的矿山企业应当统筹使用</w:t>
            </w:r>
            <w:r>
              <w:rPr>
                <w:rFonts w:hint="eastAsia" w:ascii="宋体" w:hAnsi="宋体" w:cs="宋体"/>
                <w:kern w:val="0"/>
                <w:sz w:val="24"/>
                <w:u w:val="single"/>
              </w:rPr>
              <w:t>矿山地质环境治理恢复</w:t>
            </w:r>
            <w:r>
              <w:rPr>
                <w:rFonts w:hint="eastAsia" w:ascii="宋体" w:hAnsi="宋体" w:cs="宋体"/>
                <w:kern w:val="0"/>
                <w:sz w:val="24"/>
                <w:u w:val="none"/>
              </w:rPr>
              <w:t>基金</w:t>
            </w:r>
            <w:r>
              <w:rPr>
                <w:rFonts w:hint="eastAsia" w:ascii="宋体" w:hAnsi="宋体" w:cs="宋体"/>
                <w:color w:val="000000"/>
                <w:kern w:val="0"/>
                <w:sz w:val="24"/>
              </w:rPr>
              <w:t>，实施联合治理。</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CE56">
            <w:pPr>
              <w:widowControl/>
              <w:spacing w:line="360" w:lineRule="exact"/>
              <w:jc w:val="left"/>
              <w:rPr>
                <w:rFonts w:ascii="宋体" w:hAnsi="宋体" w:cs="宋体"/>
                <w:color w:val="000000"/>
                <w:sz w:val="24"/>
              </w:rPr>
            </w:pPr>
            <w:r>
              <w:rPr>
                <w:rFonts w:hint="eastAsia" w:ascii="宋体" w:hAnsi="宋体" w:cs="宋体"/>
                <w:color w:val="000000"/>
                <w:kern w:val="0"/>
                <w:sz w:val="24"/>
              </w:rPr>
              <w:t xml:space="preserve"> </w:t>
            </w:r>
            <w:r>
              <w:rPr>
                <w:rFonts w:hint="eastAsia" w:ascii="宋体" w:hAnsi="宋体" w:cs="宋体"/>
                <w:color w:val="000000"/>
                <w:kern w:val="0"/>
                <w:sz w:val="24"/>
                <w:lang w:val="en-US" w:eastAsia="zh-CN"/>
              </w:rPr>
              <w:t xml:space="preserve">  </w:t>
            </w:r>
            <w:r>
              <w:rPr>
                <w:rFonts w:ascii="黑体" w:hAnsi="宋体" w:eastAsia="黑体" w:cs="黑体"/>
                <w:color w:val="000000"/>
                <w:kern w:val="0"/>
                <w:sz w:val="24"/>
              </w:rPr>
              <w:t>第二十六条</w:t>
            </w:r>
            <w:r>
              <w:rPr>
                <w:rFonts w:hint="eastAsia" w:ascii="宋体" w:hAnsi="宋体" w:cs="宋体"/>
                <w:color w:val="000000"/>
                <w:kern w:val="0"/>
                <w:sz w:val="24"/>
              </w:rPr>
              <w:t>　旗区人民政府应当对相邻矿山进行集中连片治理规划。集中连片治理区应当统一治理标准和要求，优化尾坑留置和边坡处置，实现复垦土地科学利用。</w:t>
            </w:r>
            <w:r>
              <w:rPr>
                <w:rFonts w:hint="eastAsia" w:ascii="宋体" w:hAnsi="宋体" w:cs="宋体"/>
                <w:color w:val="000000"/>
                <w:kern w:val="0"/>
                <w:sz w:val="24"/>
              </w:rPr>
              <w:br w:type="textWrapping"/>
            </w:r>
            <w:r>
              <w:rPr>
                <w:rFonts w:hint="eastAsia" w:ascii="宋体" w:hAnsi="宋体" w:cs="宋体"/>
                <w:color w:val="000000"/>
                <w:kern w:val="0"/>
                <w:sz w:val="24"/>
              </w:rPr>
              <w:t>　　集中连片治理区内的矿山企业应当统筹使用</w:t>
            </w:r>
            <w:r>
              <w:rPr>
                <w:rFonts w:hint="eastAsia" w:ascii="宋体" w:hAnsi="宋体" w:cs="宋体"/>
                <w:color w:val="FF0000"/>
                <w:kern w:val="0"/>
                <w:sz w:val="24"/>
              </w:rPr>
              <w:t>矿区生态修复</w:t>
            </w:r>
            <w:r>
              <w:rPr>
                <w:rFonts w:hint="eastAsia" w:ascii="宋体" w:hAnsi="宋体" w:cs="宋体"/>
                <w:color w:val="000000"/>
                <w:kern w:val="0"/>
                <w:sz w:val="24"/>
              </w:rPr>
              <w:t>基金，实施联合治理。</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3D50D">
            <w:pPr>
              <w:widowControl/>
              <w:spacing w:line="360" w:lineRule="exact"/>
              <w:jc w:val="left"/>
              <w:rPr>
                <w:rFonts w:ascii="宋体" w:hAnsi="宋体" w:cs="宋体"/>
                <w:color w:val="000000"/>
                <w:sz w:val="24"/>
              </w:rPr>
            </w:pPr>
            <w:r>
              <w:rPr>
                <w:rFonts w:hint="eastAsia" w:ascii="宋体" w:hAnsi="宋体" w:cs="宋体"/>
                <w:color w:val="000000"/>
                <w:sz w:val="24"/>
              </w:rPr>
              <w:t>《矿产资源法》第四十九条 采矿权人应当按照规定提取矿区生态修复费用，专门用于矿区生态修复。</w:t>
            </w:r>
          </w:p>
        </w:tc>
      </w:tr>
      <w:tr w14:paraId="5EF5106D">
        <w:tblPrEx>
          <w:tblCellMar>
            <w:top w:w="0" w:type="dxa"/>
            <w:left w:w="108" w:type="dxa"/>
            <w:bottom w:w="0" w:type="dxa"/>
            <w:right w:w="108" w:type="dxa"/>
          </w:tblCellMar>
        </w:tblPrEx>
        <w:trPr>
          <w:trHeight w:val="220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4126F">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第二十七条</w:t>
            </w:r>
            <w:r>
              <w:rPr>
                <w:rFonts w:hint="eastAsia" w:ascii="宋体" w:hAnsi="宋体" w:cs="宋体"/>
                <w:color w:val="000000"/>
                <w:kern w:val="0"/>
                <w:sz w:val="24"/>
              </w:rPr>
              <w:t>　石油天然气开采项目建设、生产、运输等应当减少生态破坏，项目竣工应当按照</w:t>
            </w:r>
            <w:r>
              <w:rPr>
                <w:rFonts w:hint="eastAsia" w:ascii="宋体" w:hAnsi="宋体" w:cs="宋体"/>
                <w:kern w:val="0"/>
                <w:sz w:val="24"/>
                <w:u w:val="single"/>
              </w:rPr>
              <w:t>矿山地质环境保护与土地复垦</w:t>
            </w:r>
            <w:r>
              <w:rPr>
                <w:rFonts w:hint="eastAsia" w:ascii="宋体" w:hAnsi="宋体" w:cs="宋体"/>
                <w:kern w:val="0"/>
                <w:sz w:val="24"/>
                <w:u w:val="none"/>
              </w:rPr>
              <w:t>方案</w:t>
            </w:r>
            <w:r>
              <w:rPr>
                <w:rFonts w:hint="eastAsia" w:ascii="宋体" w:hAnsi="宋体" w:cs="宋体"/>
                <w:color w:val="000000"/>
                <w:kern w:val="0"/>
                <w:sz w:val="24"/>
              </w:rPr>
              <w:t>的要求进行土地复垦。</w:t>
            </w:r>
            <w:r>
              <w:rPr>
                <w:rFonts w:hint="eastAsia" w:ascii="宋体" w:hAnsi="宋体" w:cs="宋体"/>
                <w:color w:val="000000"/>
                <w:kern w:val="0"/>
                <w:sz w:val="24"/>
              </w:rPr>
              <w:br w:type="textWrapping"/>
            </w:r>
            <w:r>
              <w:rPr>
                <w:rFonts w:hint="eastAsia" w:ascii="宋体" w:hAnsi="宋体" w:cs="宋体"/>
                <w:color w:val="000000"/>
                <w:kern w:val="0"/>
                <w:sz w:val="24"/>
              </w:rPr>
              <w:t>　　石油天然气矿山应当对技术关闭井、报废井实施安全封堵，并将相关资料报旗区人民政府自然资源、生态环境主管部门备案。</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E52C2">
            <w:pPr>
              <w:widowControl/>
              <w:spacing w:line="360" w:lineRule="exact"/>
              <w:jc w:val="left"/>
              <w:rPr>
                <w:rFonts w:ascii="宋体" w:hAnsi="宋体" w:cs="宋体"/>
                <w:color w:val="000000"/>
                <w:sz w:val="24"/>
              </w:rPr>
            </w:pPr>
            <w:r>
              <w:rPr>
                <w:rFonts w:hint="eastAsia" w:ascii="宋体" w:hAnsi="宋体" w:cs="宋体"/>
                <w:color w:val="000000"/>
                <w:kern w:val="0"/>
                <w:sz w:val="24"/>
              </w:rPr>
              <w:t xml:space="preserve"> </w:t>
            </w:r>
            <w:r>
              <w:rPr>
                <w:rFonts w:hint="eastAsia" w:ascii="宋体" w:hAnsi="宋体" w:cs="宋体"/>
                <w:color w:val="000000"/>
                <w:kern w:val="0"/>
                <w:sz w:val="24"/>
                <w:lang w:val="en-US" w:eastAsia="zh-CN"/>
              </w:rPr>
              <w:t xml:space="preserve">  </w:t>
            </w:r>
            <w:r>
              <w:rPr>
                <w:rFonts w:ascii="黑体" w:hAnsi="宋体" w:eastAsia="黑体" w:cs="黑体"/>
                <w:color w:val="000000"/>
                <w:kern w:val="0"/>
                <w:sz w:val="24"/>
              </w:rPr>
              <w:t>第二十七条</w:t>
            </w:r>
            <w:r>
              <w:rPr>
                <w:rFonts w:hint="eastAsia" w:ascii="宋体" w:hAnsi="宋体" w:cs="宋体"/>
                <w:color w:val="000000"/>
                <w:kern w:val="0"/>
                <w:sz w:val="24"/>
              </w:rPr>
              <w:t>　石油天然气开采项目建设、生产、运输等应当减少生态破坏，项目竣工应当按照</w:t>
            </w:r>
            <w:r>
              <w:rPr>
                <w:rFonts w:hint="eastAsia" w:ascii="宋体" w:hAnsi="宋体" w:cs="宋体"/>
                <w:color w:val="FF0000"/>
                <w:kern w:val="0"/>
                <w:sz w:val="24"/>
              </w:rPr>
              <w:t>矿区生态修复</w:t>
            </w:r>
            <w:r>
              <w:rPr>
                <w:rFonts w:hint="eastAsia" w:ascii="宋体" w:hAnsi="宋体" w:cs="宋体"/>
                <w:kern w:val="0"/>
                <w:sz w:val="24"/>
                <w:u w:val="none"/>
              </w:rPr>
              <w:t>方案</w:t>
            </w:r>
            <w:r>
              <w:rPr>
                <w:rFonts w:hint="eastAsia" w:ascii="宋体" w:hAnsi="宋体" w:cs="宋体"/>
                <w:color w:val="000000"/>
                <w:kern w:val="0"/>
                <w:sz w:val="24"/>
              </w:rPr>
              <w:t>的要求进行土地复垦。</w:t>
            </w:r>
            <w:r>
              <w:rPr>
                <w:rFonts w:hint="eastAsia" w:ascii="宋体" w:hAnsi="宋体" w:cs="宋体"/>
                <w:color w:val="000000"/>
                <w:kern w:val="0"/>
                <w:sz w:val="24"/>
              </w:rPr>
              <w:br w:type="textWrapping"/>
            </w:r>
            <w:r>
              <w:rPr>
                <w:rFonts w:hint="eastAsia" w:ascii="宋体" w:hAnsi="宋体" w:cs="宋体"/>
                <w:color w:val="000000"/>
                <w:kern w:val="0"/>
                <w:sz w:val="24"/>
              </w:rPr>
              <w:t>　　石油天然气矿山应当对技术关闭井、报废井实施安全封堵，并将相关资料报旗区人民政府自然资源、生态环境主管部门备案。</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8A7F6">
            <w:pPr>
              <w:widowControl/>
              <w:spacing w:line="360" w:lineRule="exact"/>
              <w:jc w:val="left"/>
              <w:rPr>
                <w:rFonts w:ascii="宋体" w:hAnsi="宋体" w:cs="宋体"/>
                <w:color w:val="000000"/>
                <w:sz w:val="24"/>
              </w:rPr>
            </w:pPr>
            <w:r>
              <w:rPr>
                <w:rFonts w:hint="eastAsia" w:ascii="宋体" w:hAnsi="宋体" w:cs="宋体"/>
                <w:color w:val="000000"/>
                <w:sz w:val="24"/>
              </w:rPr>
              <w:t>《矿产资源法》第四十六条 开采矿产资源前，采矿权人应当依照法律、法规和国务院自然资源主管部门的规定以及矿业权出让合同编制矿区生态修复方案，随开采方案报原矿权出让部门批准。</w:t>
            </w:r>
          </w:p>
        </w:tc>
      </w:tr>
      <w:tr w14:paraId="39A3D615">
        <w:tblPrEx>
          <w:tblCellMar>
            <w:top w:w="0" w:type="dxa"/>
            <w:left w:w="108" w:type="dxa"/>
            <w:bottom w:w="0" w:type="dxa"/>
            <w:right w:w="108" w:type="dxa"/>
          </w:tblCellMar>
        </w:tblPrEx>
        <w:trPr>
          <w:trHeight w:val="31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3AA59">
            <w:pPr>
              <w:widowControl/>
              <w:spacing w:line="360" w:lineRule="exact"/>
              <w:jc w:val="center"/>
              <w:textAlignment w:val="center"/>
              <w:rPr>
                <w:rFonts w:ascii="黑体" w:hAnsi="宋体" w:eastAsia="黑体" w:cs="黑体"/>
                <w:color w:val="000000"/>
                <w:sz w:val="24"/>
              </w:rPr>
            </w:pPr>
            <w:r>
              <w:rPr>
                <w:rFonts w:ascii="黑体" w:hAnsi="宋体" w:eastAsia="黑体" w:cs="黑体"/>
                <w:color w:val="000000"/>
                <w:kern w:val="0"/>
                <w:sz w:val="24"/>
              </w:rPr>
              <w:t>第三节　矿山现代化与和谐矿区建设</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6A72B">
            <w:pPr>
              <w:widowControl/>
              <w:spacing w:line="360" w:lineRule="exact"/>
              <w:jc w:val="center"/>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8732">
            <w:pPr>
              <w:widowControl/>
              <w:spacing w:line="360" w:lineRule="exact"/>
              <w:jc w:val="center"/>
              <w:rPr>
                <w:rFonts w:ascii="宋体" w:hAnsi="宋体" w:cs="宋体"/>
                <w:color w:val="000000"/>
                <w:sz w:val="24"/>
              </w:rPr>
            </w:pPr>
          </w:p>
        </w:tc>
      </w:tr>
      <w:tr w14:paraId="1615D708">
        <w:tblPrEx>
          <w:tblCellMar>
            <w:top w:w="0" w:type="dxa"/>
            <w:left w:w="108" w:type="dxa"/>
            <w:bottom w:w="0" w:type="dxa"/>
            <w:right w:w="108" w:type="dxa"/>
          </w:tblCellMar>
        </w:tblPrEx>
        <w:trPr>
          <w:trHeight w:val="94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1F49">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第二十八条</w:t>
            </w:r>
            <w:r>
              <w:rPr>
                <w:rFonts w:hint="eastAsia" w:ascii="宋体" w:hAnsi="宋体" w:cs="宋体"/>
                <w:color w:val="000000"/>
                <w:kern w:val="0"/>
                <w:sz w:val="24"/>
              </w:rPr>
              <w:t>　采矿权人应当选择国家鼓励、支持和推广的自动化、信息化和智能化开采技术和工艺，提高生产装备和现代化管理水平。</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315F">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7E0F">
            <w:pPr>
              <w:widowControl/>
              <w:spacing w:line="360" w:lineRule="exact"/>
              <w:jc w:val="left"/>
              <w:rPr>
                <w:rFonts w:ascii="宋体" w:hAnsi="宋体" w:cs="宋体"/>
                <w:color w:val="000000"/>
                <w:sz w:val="24"/>
              </w:rPr>
            </w:pPr>
          </w:p>
        </w:tc>
      </w:tr>
      <w:tr w14:paraId="1CC8B640">
        <w:tblPrEx>
          <w:tblCellMar>
            <w:top w:w="0" w:type="dxa"/>
            <w:left w:w="108" w:type="dxa"/>
            <w:bottom w:w="0" w:type="dxa"/>
            <w:right w:w="108" w:type="dxa"/>
          </w:tblCellMar>
        </w:tblPrEx>
        <w:trPr>
          <w:trHeight w:val="157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885F">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第二十九条</w:t>
            </w:r>
            <w:r>
              <w:rPr>
                <w:rFonts w:hint="eastAsia" w:ascii="宋体" w:hAnsi="宋体" w:cs="宋体"/>
                <w:color w:val="000000"/>
                <w:kern w:val="0"/>
                <w:sz w:val="24"/>
              </w:rPr>
              <w:t>　采矿权人应当组建科技研发队伍，建立产学研用相结合的科技创新体系，推广转化科技成果，加大技术改造力度，推动产业绿色升级。企业每年的研发和技改投入不得低于相关规定标准。</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77BA">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E485A">
            <w:pPr>
              <w:widowControl/>
              <w:spacing w:line="360" w:lineRule="exact"/>
              <w:jc w:val="left"/>
              <w:rPr>
                <w:rFonts w:ascii="宋体" w:hAnsi="宋体" w:cs="宋体"/>
                <w:color w:val="000000"/>
                <w:sz w:val="24"/>
              </w:rPr>
            </w:pPr>
          </w:p>
        </w:tc>
      </w:tr>
      <w:tr w14:paraId="33B3C686">
        <w:tblPrEx>
          <w:tblCellMar>
            <w:top w:w="0" w:type="dxa"/>
            <w:left w:w="108" w:type="dxa"/>
            <w:bottom w:w="0" w:type="dxa"/>
            <w:right w:w="108" w:type="dxa"/>
          </w:tblCellMar>
        </w:tblPrEx>
        <w:trPr>
          <w:trHeight w:val="94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4052B">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第三十条</w:t>
            </w:r>
            <w:r>
              <w:rPr>
                <w:rFonts w:hint="eastAsia" w:ascii="宋体" w:hAnsi="宋体" w:cs="宋体"/>
                <w:color w:val="000000"/>
                <w:kern w:val="0"/>
                <w:sz w:val="24"/>
              </w:rPr>
              <w:t>　采矿权人应当统筹建设矿山生产、安全、环保、取用水等监测监控系统，实现集中管控和信息联动。</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964A">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5CAD">
            <w:pPr>
              <w:widowControl/>
              <w:spacing w:line="360" w:lineRule="exact"/>
              <w:jc w:val="left"/>
              <w:rPr>
                <w:rFonts w:ascii="宋体" w:hAnsi="宋体" w:cs="宋体"/>
                <w:color w:val="000000"/>
                <w:sz w:val="24"/>
              </w:rPr>
            </w:pPr>
          </w:p>
        </w:tc>
      </w:tr>
      <w:tr w14:paraId="4F21627A">
        <w:tblPrEx>
          <w:tblCellMar>
            <w:top w:w="0" w:type="dxa"/>
            <w:left w:w="108" w:type="dxa"/>
            <w:bottom w:w="0" w:type="dxa"/>
            <w:right w:w="108" w:type="dxa"/>
          </w:tblCellMar>
        </w:tblPrEx>
        <w:trPr>
          <w:trHeight w:val="126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01A24">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第三十一条</w:t>
            </w:r>
            <w:r>
              <w:rPr>
                <w:rFonts w:hint="eastAsia" w:ascii="宋体" w:hAnsi="宋体" w:cs="宋体"/>
                <w:color w:val="000000"/>
                <w:kern w:val="0"/>
                <w:sz w:val="24"/>
              </w:rPr>
              <w:t>　煤炭采矿权人应当加快矿井智能化建设，逐步建立多产业链、多系统集成的煤矿智能化系统和智能感知、智能决策、自动执行的煤矿智能化体系。</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6B40">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4D47F">
            <w:pPr>
              <w:widowControl/>
              <w:spacing w:line="360" w:lineRule="exact"/>
              <w:jc w:val="left"/>
              <w:rPr>
                <w:rFonts w:ascii="宋体" w:hAnsi="宋体" w:cs="宋体"/>
                <w:color w:val="000000"/>
                <w:sz w:val="24"/>
              </w:rPr>
            </w:pPr>
          </w:p>
        </w:tc>
      </w:tr>
      <w:tr w14:paraId="0E98A140">
        <w:tblPrEx>
          <w:tblCellMar>
            <w:top w:w="0" w:type="dxa"/>
            <w:left w:w="108" w:type="dxa"/>
            <w:bottom w:w="0" w:type="dxa"/>
            <w:right w:w="108" w:type="dxa"/>
          </w:tblCellMar>
        </w:tblPrEx>
        <w:trPr>
          <w:trHeight w:val="94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CA8A">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第三十二条</w:t>
            </w:r>
            <w:r>
              <w:rPr>
                <w:rFonts w:hint="eastAsia" w:ascii="宋体" w:hAnsi="宋体" w:cs="宋体"/>
                <w:color w:val="000000"/>
                <w:kern w:val="0"/>
                <w:sz w:val="24"/>
              </w:rPr>
              <w:t>　采矿权人应当建立健全产权、责任、管理、文化等方面的企业管理制度和绿色矿山管理体系。</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6069">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CB59">
            <w:pPr>
              <w:widowControl/>
              <w:spacing w:line="360" w:lineRule="exact"/>
              <w:jc w:val="left"/>
              <w:rPr>
                <w:rFonts w:ascii="宋体" w:hAnsi="宋体" w:cs="宋体"/>
                <w:color w:val="000000"/>
                <w:sz w:val="24"/>
              </w:rPr>
            </w:pPr>
          </w:p>
        </w:tc>
      </w:tr>
      <w:tr w14:paraId="0F896893">
        <w:tblPrEx>
          <w:tblCellMar>
            <w:top w:w="0" w:type="dxa"/>
            <w:left w:w="108" w:type="dxa"/>
            <w:bottom w:w="0" w:type="dxa"/>
            <w:right w:w="108" w:type="dxa"/>
          </w:tblCellMar>
        </w:tblPrEx>
        <w:trPr>
          <w:trHeight w:val="315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6B1A8">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第三十三条</w:t>
            </w:r>
            <w:r>
              <w:rPr>
                <w:rFonts w:hint="eastAsia" w:ascii="宋体" w:hAnsi="宋体" w:cs="宋体"/>
                <w:color w:val="000000"/>
                <w:kern w:val="0"/>
                <w:sz w:val="24"/>
              </w:rPr>
              <w:t>　矿区整体环境应当干净整洁。矿区地面工程系统以及供水、供电、卫生、环保等配套基础设施完善。矿区容貌与周边地表、植被等自然环境相协调。</w:t>
            </w:r>
            <w:r>
              <w:rPr>
                <w:rFonts w:hint="eastAsia" w:ascii="宋体" w:hAnsi="宋体" w:cs="宋体"/>
                <w:color w:val="000000"/>
                <w:kern w:val="0"/>
                <w:sz w:val="24"/>
              </w:rPr>
              <w:br w:type="textWrapping"/>
            </w:r>
            <w:r>
              <w:rPr>
                <w:rFonts w:hint="eastAsia" w:ascii="宋体" w:hAnsi="宋体" w:cs="宋体"/>
                <w:color w:val="000000"/>
                <w:kern w:val="0"/>
                <w:sz w:val="24"/>
              </w:rPr>
              <w:t>　　矿区应当按照规定设置标识、标牌。生产区、管理区、生活区、生态区等功能区应当合理布局、运行有序、规范管理。</w:t>
            </w:r>
            <w:r>
              <w:rPr>
                <w:rFonts w:hint="eastAsia" w:ascii="宋体" w:hAnsi="宋体" w:cs="宋体"/>
                <w:color w:val="000000"/>
                <w:kern w:val="0"/>
                <w:sz w:val="24"/>
              </w:rPr>
              <w:br w:type="textWrapping"/>
            </w:r>
            <w:r>
              <w:rPr>
                <w:rFonts w:hint="eastAsia" w:ascii="宋体" w:hAnsi="宋体" w:cs="宋体"/>
                <w:color w:val="000000"/>
                <w:kern w:val="0"/>
                <w:sz w:val="24"/>
              </w:rPr>
              <w:t>　　矿区专用道路两侧、工业广场周边、办公区、生活区等适宜绿化区域应当进行绿化，并科学配置林草种类。</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F857">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7A71">
            <w:pPr>
              <w:widowControl/>
              <w:spacing w:line="360" w:lineRule="exact"/>
              <w:jc w:val="left"/>
              <w:rPr>
                <w:rFonts w:ascii="宋体" w:hAnsi="宋体" w:cs="宋体"/>
                <w:color w:val="000000"/>
                <w:sz w:val="24"/>
              </w:rPr>
            </w:pPr>
          </w:p>
        </w:tc>
      </w:tr>
      <w:tr w14:paraId="2F9F50E1">
        <w:tblPrEx>
          <w:tblCellMar>
            <w:top w:w="0" w:type="dxa"/>
            <w:left w:w="108" w:type="dxa"/>
            <w:bottom w:w="0" w:type="dxa"/>
            <w:right w:w="108" w:type="dxa"/>
          </w:tblCellMar>
        </w:tblPrEx>
        <w:trPr>
          <w:trHeight w:val="361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0A6A0">
            <w:pPr>
              <w:widowControl/>
              <w:spacing w:line="360" w:lineRule="exact"/>
              <w:jc w:val="left"/>
              <w:textAlignment w:val="top"/>
              <w:rPr>
                <w:rFonts w:ascii="宋体" w:hAnsi="宋体" w:cs="宋体"/>
                <w:color w:val="000000"/>
                <w:kern w:val="0"/>
                <w:sz w:val="24"/>
              </w:rPr>
            </w:pPr>
            <w:r>
              <w:rPr>
                <w:rFonts w:hint="eastAsia" w:ascii="宋体" w:hAnsi="宋体" w:cs="宋体"/>
                <w:color w:val="000000"/>
                <w:kern w:val="0"/>
              </w:rPr>
              <w:t xml:space="preserve">   </w:t>
            </w:r>
            <w:r>
              <w:rPr>
                <w:rFonts w:hint="eastAsia" w:ascii="宋体" w:hAnsi="宋体" w:cs="宋体"/>
                <w:color w:val="000000"/>
                <w:kern w:val="0"/>
                <w:sz w:val="24"/>
              </w:rPr>
              <w:t>第三十四条　旗区人民政府、苏木乡镇人民政府和矿山企业应当加强和谐矿区建设。旗区人民政府应当建立政府、村民代表与企业共同参与的矛盾纠纷化解协调机制；采矿权人应当与矿山属地苏木乡镇人民政府、街道办事处、嘎查村（居）民委员会建立磋商和协商机制，妥善处理各类矛盾。</w:t>
            </w:r>
            <w:r>
              <w:fldChar w:fldCharType="begin"/>
            </w:r>
            <w:r>
              <w:instrText xml:space="preserve"> HYPERLINK "javascript:void(0);" </w:instrText>
            </w:r>
            <w:r>
              <w:fldChar w:fldCharType="separate"/>
            </w:r>
            <w:r>
              <w:fldChar w:fldCharType="end"/>
            </w:r>
          </w:p>
          <w:p w14:paraId="6851DBE9">
            <w:pPr>
              <w:widowControl/>
              <w:spacing w:line="360" w:lineRule="exact"/>
              <w:jc w:val="left"/>
              <w:textAlignment w:val="top"/>
              <w:rPr>
                <w:rFonts w:ascii="宋体" w:hAnsi="宋体" w:cs="宋体"/>
                <w:color w:val="000000"/>
                <w:kern w:val="0"/>
                <w:sz w:val="24"/>
              </w:rPr>
            </w:pPr>
            <w:bookmarkStart w:id="2" w:name="tiao_34_kuan_2"/>
            <w:bookmarkEnd w:id="2"/>
            <w:r>
              <w:rPr>
                <w:rFonts w:hint="eastAsia" w:ascii="宋体" w:hAnsi="宋体" w:cs="宋体"/>
                <w:color w:val="000000"/>
                <w:kern w:val="0"/>
                <w:sz w:val="24"/>
              </w:rPr>
              <w:t>　　采矿权人应当积极承担社会责任，制定工作方案，在企业用工方面优先安排使用符合用工条件的矿区周边村民，积极开展扶贫救助等惠民活动。</w:t>
            </w:r>
            <w:r>
              <w:fldChar w:fldCharType="begin"/>
            </w:r>
            <w:r>
              <w:instrText xml:space="preserve"> HYPERLINK "javascript:void(0);" </w:instrText>
            </w:r>
            <w:r>
              <w:fldChar w:fldCharType="separate"/>
            </w:r>
            <w:r>
              <w:fldChar w:fldCharType="end"/>
            </w:r>
          </w:p>
          <w:p w14:paraId="538DD88A">
            <w:pPr>
              <w:widowControl/>
              <w:spacing w:line="360" w:lineRule="exact"/>
              <w:jc w:val="left"/>
              <w:textAlignment w:val="top"/>
              <w:rPr>
                <w:rFonts w:ascii="宋体" w:hAnsi="宋体" w:cs="宋体"/>
                <w:color w:val="000000"/>
                <w:kern w:val="0"/>
                <w:sz w:val="24"/>
              </w:rPr>
            </w:pPr>
            <w:bookmarkStart w:id="3" w:name="tiao_34_kuan_3"/>
            <w:bookmarkEnd w:id="3"/>
            <w:r>
              <w:rPr>
                <w:rFonts w:hint="eastAsia" w:ascii="宋体" w:hAnsi="宋体" w:cs="宋体"/>
                <w:color w:val="000000"/>
                <w:kern w:val="0"/>
                <w:sz w:val="24"/>
              </w:rPr>
              <w:t>　　采矿权人在生产生活中应当尊重当地风俗习惯。</w:t>
            </w:r>
            <w:r>
              <w:fldChar w:fldCharType="begin"/>
            </w:r>
            <w:r>
              <w:instrText xml:space="preserve"> HYPERLINK "javascript:void(0);" </w:instrText>
            </w:r>
            <w:r>
              <w:fldChar w:fldCharType="separate"/>
            </w:r>
            <w:r>
              <w:fldChar w:fldCharType="end"/>
            </w:r>
          </w:p>
          <w:p w14:paraId="484229B3">
            <w:pPr>
              <w:widowControl/>
              <w:spacing w:line="360" w:lineRule="exact"/>
              <w:jc w:val="left"/>
              <w:textAlignment w:val="top"/>
              <w:rPr>
                <w:rFonts w:ascii="宋体" w:hAnsi="宋体" w:cs="宋体"/>
                <w:color w:val="000000"/>
              </w:rPr>
            </w:pPr>
            <w:bookmarkStart w:id="4" w:name="tiao_34_kuan_4"/>
            <w:bookmarkEnd w:id="4"/>
            <w:r>
              <w:rPr>
                <w:rFonts w:hint="eastAsia" w:ascii="宋体" w:hAnsi="宋体" w:cs="宋体"/>
                <w:color w:val="000000"/>
                <w:kern w:val="0"/>
                <w:sz w:val="24"/>
              </w:rPr>
              <w:t>　　矿区周边村民应当依法维护权益、表达诉求。</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1B12">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8AD0">
            <w:pPr>
              <w:widowControl/>
              <w:spacing w:line="360" w:lineRule="exact"/>
              <w:jc w:val="left"/>
              <w:textAlignment w:val="center"/>
              <w:rPr>
                <w:rFonts w:ascii="宋体" w:hAnsi="宋体" w:cs="宋体"/>
                <w:color w:val="000000"/>
                <w:sz w:val="24"/>
              </w:rPr>
            </w:pPr>
          </w:p>
        </w:tc>
      </w:tr>
      <w:tr w14:paraId="1C4D01D9">
        <w:tblPrEx>
          <w:tblCellMar>
            <w:top w:w="0" w:type="dxa"/>
            <w:left w:w="108" w:type="dxa"/>
            <w:bottom w:w="0" w:type="dxa"/>
            <w:right w:w="108" w:type="dxa"/>
          </w:tblCellMar>
        </w:tblPrEx>
        <w:trPr>
          <w:trHeight w:val="31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4D34">
            <w:pPr>
              <w:widowControl/>
              <w:spacing w:line="360" w:lineRule="exact"/>
              <w:jc w:val="center"/>
              <w:textAlignment w:val="center"/>
              <w:rPr>
                <w:rFonts w:ascii="黑体" w:hAnsi="宋体" w:eastAsia="黑体" w:cs="黑体"/>
                <w:color w:val="000000"/>
                <w:sz w:val="24"/>
              </w:rPr>
            </w:pPr>
            <w:r>
              <w:rPr>
                <w:rFonts w:ascii="黑体" w:hAnsi="宋体" w:eastAsia="黑体" w:cs="黑体"/>
                <w:color w:val="000000"/>
                <w:kern w:val="0"/>
                <w:sz w:val="24"/>
              </w:rPr>
              <w:t>第三章　绿色矿山监督管理</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54BDC">
            <w:pPr>
              <w:widowControl/>
              <w:spacing w:line="360" w:lineRule="exact"/>
              <w:jc w:val="center"/>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B43B">
            <w:pPr>
              <w:widowControl/>
              <w:spacing w:line="360" w:lineRule="exact"/>
              <w:jc w:val="center"/>
              <w:rPr>
                <w:rFonts w:ascii="宋体" w:hAnsi="宋体" w:cs="宋体"/>
                <w:color w:val="000000"/>
                <w:sz w:val="24"/>
              </w:rPr>
            </w:pPr>
          </w:p>
        </w:tc>
      </w:tr>
      <w:tr w14:paraId="11129339">
        <w:tblPrEx>
          <w:tblCellMar>
            <w:top w:w="0" w:type="dxa"/>
            <w:left w:w="108" w:type="dxa"/>
            <w:bottom w:w="0" w:type="dxa"/>
            <w:right w:w="108" w:type="dxa"/>
          </w:tblCellMar>
        </w:tblPrEx>
        <w:trPr>
          <w:trHeight w:val="9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664B">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第三十五条</w:t>
            </w:r>
            <w:r>
              <w:rPr>
                <w:rFonts w:hint="eastAsia" w:ascii="宋体" w:hAnsi="宋体" w:cs="宋体"/>
                <w:color w:val="000000"/>
                <w:kern w:val="0"/>
                <w:sz w:val="24"/>
              </w:rPr>
              <w:t>　市、旗区人民政府应当根据国家和自治区绿色矿山建设规划的要求，编制市、旗区绿色矿山建设规划。</w:t>
            </w:r>
            <w:r>
              <w:rPr>
                <w:rFonts w:hint="eastAsia" w:ascii="宋体" w:hAnsi="宋体" w:cs="宋体"/>
                <w:color w:val="000000"/>
                <w:kern w:val="0"/>
                <w:sz w:val="24"/>
              </w:rPr>
              <w:br w:type="textWrapping"/>
            </w:r>
            <w:r>
              <w:rPr>
                <w:rFonts w:hint="eastAsia" w:ascii="宋体" w:hAnsi="宋体" w:cs="宋体"/>
                <w:color w:val="000000"/>
                <w:kern w:val="0"/>
                <w:sz w:val="24"/>
              </w:rPr>
              <w:t>　　绿色矿山建设规划应当与国土空间规划、矿产资源总体规划、生态环境保护规划、地质灾害防治规划、地质环境治理规划、水土保持规划、矿区总体规划等相衔接。</w:t>
            </w:r>
            <w:r>
              <w:rPr>
                <w:rFonts w:hint="eastAsia" w:ascii="宋体" w:hAnsi="宋体" w:cs="宋体"/>
                <w:color w:val="000000"/>
                <w:kern w:val="0"/>
                <w:sz w:val="24"/>
              </w:rPr>
              <w:br w:type="textWrapping"/>
            </w:r>
            <w:r>
              <w:rPr>
                <w:rFonts w:hint="eastAsia" w:ascii="宋体" w:hAnsi="宋体" w:cs="宋体"/>
                <w:color w:val="000000"/>
                <w:kern w:val="0"/>
                <w:sz w:val="24"/>
              </w:rPr>
              <w:t>　　经批准后的绿色矿山建设规划，由市、旗区人民政府自然资源主管部门会同相关部门组织实施。</w:t>
            </w:r>
            <w:r>
              <w:rPr>
                <w:rFonts w:hint="eastAsia" w:ascii="宋体" w:hAnsi="宋体" w:cs="宋体"/>
                <w:color w:val="000000"/>
                <w:kern w:val="0"/>
                <w:sz w:val="24"/>
              </w:rPr>
              <w:br w:type="textWrapping"/>
            </w:r>
            <w:r>
              <w:rPr>
                <w:rFonts w:hint="eastAsia" w:ascii="宋体" w:hAnsi="宋体" w:cs="宋体"/>
                <w:color w:val="000000"/>
                <w:kern w:val="0"/>
                <w:sz w:val="24"/>
              </w:rPr>
              <w:t>　</w:t>
            </w:r>
            <w:r>
              <w:rPr>
                <w:rFonts w:hint="eastAsia" w:ascii="宋体" w:hAnsi="宋体" w:cs="宋体"/>
                <w:color w:val="FF0000"/>
                <w:kern w:val="0"/>
                <w:sz w:val="24"/>
              </w:rPr>
              <w:t>　</w:t>
            </w:r>
            <w:r>
              <w:rPr>
                <w:rFonts w:hint="eastAsia" w:ascii="宋体" w:hAnsi="宋体" w:cs="宋体"/>
                <w:strike/>
                <w:kern w:val="0"/>
                <w:sz w:val="24"/>
              </w:rPr>
              <w:t>采矿权人应当根据市、旗区绿色矿山建设规划，编制本矿山的绿色矿山建设实施方案。</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F3A5">
            <w:pPr>
              <w:widowControl/>
              <w:spacing w:line="360" w:lineRule="exact"/>
              <w:jc w:val="left"/>
              <w:rPr>
                <w:rFonts w:ascii="宋体" w:hAnsi="宋体" w:cs="宋体"/>
                <w:color w:val="000000"/>
                <w:sz w:val="24"/>
              </w:rPr>
            </w:pPr>
            <w:r>
              <w:rPr>
                <w:rFonts w:hint="eastAsia" w:ascii="宋体" w:hAnsi="宋体" w:cs="宋体"/>
                <w:color w:val="000000"/>
                <w:kern w:val="0"/>
                <w:sz w:val="24"/>
              </w:rPr>
              <w:t xml:space="preserve"> </w:t>
            </w:r>
            <w:r>
              <w:rPr>
                <w:rFonts w:hint="eastAsia" w:ascii="宋体" w:hAnsi="宋体" w:cs="宋体"/>
                <w:color w:val="000000"/>
                <w:kern w:val="0"/>
                <w:sz w:val="24"/>
                <w:lang w:val="en-US" w:eastAsia="zh-CN"/>
              </w:rPr>
              <w:t xml:space="preserve">  </w:t>
            </w:r>
            <w:r>
              <w:rPr>
                <w:rFonts w:ascii="黑体" w:hAnsi="宋体" w:eastAsia="黑体" w:cs="黑体"/>
                <w:color w:val="000000"/>
                <w:kern w:val="0"/>
                <w:sz w:val="24"/>
              </w:rPr>
              <w:t>第三十五条</w:t>
            </w:r>
            <w:r>
              <w:rPr>
                <w:rFonts w:hint="eastAsia" w:ascii="宋体" w:hAnsi="宋体" w:cs="宋体"/>
                <w:color w:val="000000"/>
                <w:kern w:val="0"/>
                <w:sz w:val="24"/>
              </w:rPr>
              <w:t>　市、旗区人民政府应当根据国家和自治区绿色矿山建设规划的要求，编制市、旗区绿色矿山建设规划。</w:t>
            </w:r>
            <w:r>
              <w:rPr>
                <w:rFonts w:hint="eastAsia" w:ascii="宋体" w:hAnsi="宋体" w:cs="宋体"/>
                <w:color w:val="000000"/>
                <w:kern w:val="0"/>
                <w:sz w:val="24"/>
              </w:rPr>
              <w:br w:type="textWrapping"/>
            </w:r>
            <w:r>
              <w:rPr>
                <w:rFonts w:hint="eastAsia" w:ascii="宋体" w:hAnsi="宋体" w:cs="宋体"/>
                <w:color w:val="000000"/>
                <w:kern w:val="0"/>
                <w:sz w:val="24"/>
              </w:rPr>
              <w:t>　　绿色矿山建设规划应当与国土空间规划、矿产资源总体规划、生态环境保护规划、地质灾害防治规划、地质环境治理规划、水土保持规划、矿区总体规划等相衔接。</w:t>
            </w:r>
            <w:r>
              <w:rPr>
                <w:rFonts w:hint="eastAsia" w:ascii="宋体" w:hAnsi="宋体" w:cs="宋体"/>
                <w:color w:val="000000"/>
                <w:kern w:val="0"/>
                <w:sz w:val="24"/>
              </w:rPr>
              <w:br w:type="textWrapping"/>
            </w:r>
            <w:r>
              <w:rPr>
                <w:rFonts w:hint="eastAsia" w:ascii="宋体" w:hAnsi="宋体" w:cs="宋体"/>
                <w:color w:val="000000"/>
                <w:kern w:val="0"/>
                <w:sz w:val="24"/>
              </w:rPr>
              <w:t>　　经批准后的绿色矿山建设规划，由市、旗区人民政府自然资源主管部门会同相关部门组织实施。</w:t>
            </w:r>
            <w:r>
              <w:rPr>
                <w:rFonts w:hint="eastAsia" w:ascii="宋体" w:hAnsi="宋体" w:cs="宋体"/>
                <w:color w:val="000000"/>
                <w:kern w:val="0"/>
                <w:sz w:val="24"/>
              </w:rPr>
              <w:br w:type="textWrapping"/>
            </w:r>
            <w:r>
              <w:rPr>
                <w:rFonts w:hint="eastAsia" w:ascii="宋体" w:hAnsi="宋体" w:cs="宋体"/>
                <w:color w:val="000000"/>
                <w:kern w:val="0"/>
                <w:sz w:val="24"/>
              </w:rPr>
              <w:t>　　</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10C6D">
            <w:pPr>
              <w:widowControl/>
              <w:spacing w:line="360" w:lineRule="exact"/>
              <w:jc w:val="left"/>
              <w:rPr>
                <w:rFonts w:ascii="宋体" w:hAnsi="宋体" w:cs="宋体"/>
                <w:color w:val="000000"/>
                <w:sz w:val="24"/>
              </w:rPr>
            </w:pPr>
            <w:r>
              <w:rPr>
                <w:rFonts w:hint="eastAsia" w:ascii="宋体" w:hAnsi="宋体" w:cs="宋体"/>
                <w:color w:val="000000"/>
                <w:sz w:val="24"/>
              </w:rPr>
              <w:t>无相关法规和上级部门文件要求编制“绿色矿山建设实施方案”，也没有编制规范，建议删除。</w:t>
            </w:r>
          </w:p>
        </w:tc>
      </w:tr>
      <w:tr w14:paraId="34F17B8C">
        <w:tblPrEx>
          <w:tblCellMar>
            <w:top w:w="0" w:type="dxa"/>
            <w:left w:w="108" w:type="dxa"/>
            <w:bottom w:w="0" w:type="dxa"/>
            <w:right w:w="108" w:type="dxa"/>
          </w:tblCellMar>
        </w:tblPrEx>
        <w:trPr>
          <w:trHeight w:val="1473" w:hRule="atLeast"/>
        </w:trPr>
        <w:tc>
          <w:tcPr>
            <w:tcW w:w="4923" w:type="dxa"/>
            <w:tcBorders>
              <w:top w:val="single" w:color="000000" w:sz="4" w:space="0"/>
              <w:left w:val="single" w:color="000000" w:sz="4" w:space="0"/>
              <w:bottom w:val="nil"/>
              <w:right w:val="single" w:color="000000" w:sz="4" w:space="0"/>
            </w:tcBorders>
            <w:shd w:val="clear" w:color="auto" w:fill="auto"/>
            <w:vAlign w:val="center"/>
          </w:tcPr>
          <w:p w14:paraId="3AB95D9F">
            <w:pPr>
              <w:widowControl/>
              <w:spacing w:line="360" w:lineRule="exact"/>
              <w:jc w:val="left"/>
              <w:textAlignment w:val="top"/>
              <w:rPr>
                <w:rFonts w:ascii="宋体" w:hAnsi="宋体" w:cs="宋体"/>
                <w:color w:val="000000"/>
                <w:kern w:val="0"/>
                <w:sz w:val="24"/>
              </w:rPr>
            </w:pPr>
            <w:r>
              <w:rPr>
                <w:rFonts w:hint="eastAsia" w:ascii="宋体" w:hAnsi="宋体" w:cs="宋体"/>
                <w:color w:val="000000"/>
                <w:kern w:val="0"/>
              </w:rPr>
              <w:t xml:space="preserve">    </w:t>
            </w:r>
            <w:r>
              <w:rPr>
                <w:rFonts w:ascii="黑体" w:hAnsi="宋体" w:eastAsia="黑体" w:cs="黑体"/>
                <w:color w:val="000000"/>
                <w:kern w:val="0"/>
              </w:rPr>
              <w:t>第三十六条</w:t>
            </w:r>
            <w:r>
              <w:rPr>
                <w:rFonts w:hint="eastAsia"/>
              </w:rPr>
              <w:t>　</w:t>
            </w:r>
            <w:r>
              <w:rPr>
                <w:rFonts w:hint="eastAsia" w:ascii="宋体" w:hAnsi="宋体" w:cs="宋体"/>
                <w:color w:val="000000"/>
                <w:kern w:val="0"/>
                <w:sz w:val="24"/>
              </w:rPr>
              <w:t>市、旗区人民政府相关部门在绿色矿山监督管理中，应当履行下列职责：</w:t>
            </w:r>
            <w:r>
              <w:fldChar w:fldCharType="begin"/>
            </w:r>
            <w:r>
              <w:instrText xml:space="preserve"> HYPERLINK "javascript:void(0);" </w:instrText>
            </w:r>
            <w:r>
              <w:fldChar w:fldCharType="separate"/>
            </w:r>
            <w:r>
              <w:fldChar w:fldCharType="end"/>
            </w:r>
          </w:p>
          <w:p w14:paraId="312958B8">
            <w:pPr>
              <w:widowControl/>
              <w:spacing w:line="360" w:lineRule="exact"/>
              <w:jc w:val="left"/>
              <w:textAlignment w:val="top"/>
              <w:rPr>
                <w:rFonts w:ascii="宋体" w:hAnsi="宋体" w:cs="宋体"/>
                <w:kern w:val="0"/>
                <w:sz w:val="24"/>
                <w:u w:val="single"/>
              </w:rPr>
            </w:pPr>
            <w:bookmarkStart w:id="5" w:name="tiao_36_kuan_1_xiang_1"/>
            <w:bookmarkEnd w:id="5"/>
            <w:r>
              <w:rPr>
                <w:rFonts w:hint="eastAsia" w:ascii="宋体" w:hAnsi="宋体" w:cs="宋体"/>
                <w:color w:val="000000"/>
                <w:kern w:val="0"/>
                <w:sz w:val="24"/>
              </w:rPr>
              <w:t>　　</w:t>
            </w:r>
            <w:r>
              <w:rPr>
                <w:rFonts w:hint="eastAsia" w:ascii="宋体" w:hAnsi="宋体" w:cs="宋体"/>
                <w:kern w:val="0"/>
                <w:sz w:val="24"/>
                <w:u w:val="single"/>
              </w:rPr>
              <w:t>（一）自然资源主管部门负责绿色矿山申报、第三方评估、审核公示、名录管理等工作；对矿山地质环境治理、土地复垦、矿山地质环境治理恢复基金和开采回收率、采矿贫化率、选矿回收率等实施监督管理。</w:t>
            </w:r>
            <w:r>
              <w:fldChar w:fldCharType="begin"/>
            </w:r>
            <w:r>
              <w:instrText xml:space="preserve"> HYPERLINK "javascript:void(0);" </w:instrText>
            </w:r>
            <w:r>
              <w:fldChar w:fldCharType="separate"/>
            </w:r>
            <w:r>
              <w:fldChar w:fldCharType="end"/>
            </w:r>
          </w:p>
          <w:p w14:paraId="5393A240">
            <w:pPr>
              <w:widowControl/>
              <w:spacing w:line="360" w:lineRule="exact"/>
              <w:jc w:val="left"/>
              <w:textAlignment w:val="top"/>
              <w:rPr>
                <w:rFonts w:ascii="宋体" w:hAnsi="宋体" w:cs="宋体"/>
                <w:color w:val="000000"/>
                <w:kern w:val="0"/>
                <w:sz w:val="24"/>
              </w:rPr>
            </w:pPr>
            <w:bookmarkStart w:id="6" w:name="tiao_36_kuan_1_xiang_2"/>
            <w:bookmarkEnd w:id="6"/>
            <w:r>
              <w:rPr>
                <w:rFonts w:hint="eastAsia" w:ascii="宋体" w:hAnsi="宋体" w:cs="宋体"/>
                <w:color w:val="000000"/>
                <w:kern w:val="0"/>
                <w:sz w:val="24"/>
              </w:rPr>
              <w:t>　　（二）生态环境主管部门负责矿山生态环境保护工作，对矿山废水、废气、固体废物和噪声的达标排放情况实施监督管理。配合自然资源主管部门做好矿山生态环境恢复治理工作。</w:t>
            </w:r>
            <w:r>
              <w:fldChar w:fldCharType="begin"/>
            </w:r>
            <w:r>
              <w:instrText xml:space="preserve"> HYPERLINK "javascript:void(0);" </w:instrText>
            </w:r>
            <w:r>
              <w:fldChar w:fldCharType="separate"/>
            </w:r>
            <w:r>
              <w:fldChar w:fldCharType="end"/>
            </w:r>
          </w:p>
          <w:p w14:paraId="4E2DB509">
            <w:pPr>
              <w:widowControl/>
              <w:spacing w:line="360" w:lineRule="exact"/>
              <w:jc w:val="left"/>
              <w:textAlignment w:val="top"/>
              <w:rPr>
                <w:rFonts w:ascii="宋体" w:hAnsi="宋体" w:cs="宋体"/>
                <w:color w:val="000000"/>
                <w:kern w:val="0"/>
                <w:sz w:val="24"/>
              </w:rPr>
            </w:pPr>
            <w:bookmarkStart w:id="7" w:name="tiao_36_kuan_1_xiang_3"/>
            <w:bookmarkEnd w:id="7"/>
            <w:r>
              <w:rPr>
                <w:rFonts w:hint="eastAsia" w:ascii="宋体" w:hAnsi="宋体" w:cs="宋体"/>
                <w:color w:val="000000"/>
                <w:kern w:val="0"/>
                <w:sz w:val="24"/>
              </w:rPr>
              <w:t>　　（三）应急管理主管部门负责矿山安全生产监督管理，指导矿山安全信息化建设。</w:t>
            </w:r>
            <w:r>
              <w:fldChar w:fldCharType="begin"/>
            </w:r>
            <w:r>
              <w:instrText xml:space="preserve"> HYPERLINK "javascript:void(0);" </w:instrText>
            </w:r>
            <w:r>
              <w:fldChar w:fldCharType="separate"/>
            </w:r>
            <w:r>
              <w:fldChar w:fldCharType="end"/>
            </w:r>
          </w:p>
          <w:p w14:paraId="67CA6AD4">
            <w:pPr>
              <w:widowControl/>
              <w:spacing w:line="360" w:lineRule="exact"/>
              <w:jc w:val="left"/>
              <w:textAlignment w:val="top"/>
              <w:rPr>
                <w:rFonts w:ascii="宋体" w:hAnsi="宋体" w:cs="宋体"/>
                <w:color w:val="000000"/>
                <w:kern w:val="0"/>
                <w:sz w:val="24"/>
              </w:rPr>
            </w:pPr>
            <w:bookmarkStart w:id="8" w:name="tiao_36_kuan_1_xiang_4"/>
            <w:bookmarkEnd w:id="8"/>
            <w:r>
              <w:rPr>
                <w:rFonts w:hint="eastAsia" w:ascii="宋体" w:hAnsi="宋体" w:cs="宋体"/>
                <w:color w:val="000000"/>
                <w:kern w:val="0"/>
                <w:sz w:val="24"/>
              </w:rPr>
              <w:t>　　（四）能源主管部门负责能源产业发展规划的完善、先进开采技术和方法的推广、矿山开发项目建设的核准备案工作，加强煤矿安全生产工作。</w:t>
            </w:r>
            <w:r>
              <w:fldChar w:fldCharType="begin"/>
            </w:r>
            <w:r>
              <w:instrText xml:space="preserve"> HYPERLINK "javascript:void(0);" </w:instrText>
            </w:r>
            <w:r>
              <w:fldChar w:fldCharType="separate"/>
            </w:r>
            <w:r>
              <w:fldChar w:fldCharType="end"/>
            </w:r>
          </w:p>
          <w:p w14:paraId="62C13019">
            <w:pPr>
              <w:widowControl/>
              <w:spacing w:line="360" w:lineRule="exact"/>
              <w:jc w:val="left"/>
              <w:textAlignment w:val="top"/>
              <w:rPr>
                <w:rFonts w:ascii="宋体" w:hAnsi="宋体" w:cs="宋体"/>
                <w:color w:val="000000"/>
                <w:kern w:val="0"/>
                <w:sz w:val="24"/>
                <w:u w:val="single"/>
              </w:rPr>
            </w:pPr>
            <w:bookmarkStart w:id="9" w:name="tiao_36_kuan_1_xiang_5"/>
            <w:bookmarkEnd w:id="9"/>
            <w:r>
              <w:rPr>
                <w:rFonts w:hint="eastAsia" w:ascii="宋体" w:hAnsi="宋体" w:cs="宋体"/>
                <w:color w:val="000000"/>
                <w:kern w:val="0"/>
                <w:sz w:val="24"/>
              </w:rPr>
              <w:t>　　（五）</w:t>
            </w:r>
            <w:r>
              <w:rPr>
                <w:rFonts w:hint="eastAsia" w:ascii="宋体" w:hAnsi="宋体" w:cs="宋体"/>
                <w:color w:val="000000"/>
                <w:kern w:val="0"/>
                <w:sz w:val="24"/>
                <w:u w:val="single"/>
              </w:rPr>
              <w:t>财政主管部门对采矿权人的</w:t>
            </w:r>
            <w:r>
              <w:rPr>
                <w:rFonts w:hint="eastAsia" w:ascii="宋体" w:hAnsi="宋体" w:cs="宋体"/>
                <w:kern w:val="0"/>
                <w:sz w:val="24"/>
                <w:u w:val="single"/>
              </w:rPr>
              <w:t>矿山地质环境治理恢复基金</w:t>
            </w:r>
            <w:r>
              <w:rPr>
                <w:rFonts w:hint="eastAsia" w:ascii="宋体" w:hAnsi="宋体" w:cs="宋体"/>
                <w:color w:val="000000"/>
                <w:kern w:val="0"/>
                <w:sz w:val="24"/>
                <w:u w:val="single"/>
              </w:rPr>
              <w:t>账户设立、基金支出、资金绩效等事项实施监督管理。配合自然资源主管部门做好</w:t>
            </w:r>
            <w:r>
              <w:rPr>
                <w:rFonts w:hint="eastAsia" w:ascii="宋体" w:hAnsi="宋体" w:cs="宋体"/>
                <w:kern w:val="0"/>
                <w:sz w:val="24"/>
                <w:u w:val="single"/>
              </w:rPr>
              <w:t>矿山地质环境治理恢复基金</w:t>
            </w:r>
            <w:r>
              <w:rPr>
                <w:rFonts w:hint="eastAsia" w:ascii="宋体" w:hAnsi="宋体" w:cs="宋体"/>
                <w:color w:val="000000"/>
                <w:kern w:val="0"/>
                <w:sz w:val="24"/>
                <w:u w:val="single"/>
              </w:rPr>
              <w:t>计提的监督检查。</w:t>
            </w:r>
            <w:r>
              <w:rPr>
                <w:u w:val="single"/>
              </w:rPr>
              <w:fldChar w:fldCharType="begin"/>
            </w:r>
            <w:r>
              <w:rPr>
                <w:u w:val="single"/>
              </w:rPr>
              <w:instrText xml:space="preserve"> HYPERLINK "javascript:void(0);" </w:instrText>
            </w:r>
            <w:r>
              <w:rPr>
                <w:u w:val="single"/>
              </w:rPr>
              <w:fldChar w:fldCharType="separate"/>
            </w:r>
            <w:r>
              <w:rPr>
                <w:u w:val="single"/>
              </w:rPr>
              <w:fldChar w:fldCharType="end"/>
            </w:r>
          </w:p>
          <w:p w14:paraId="76AD6020">
            <w:pPr>
              <w:widowControl/>
              <w:spacing w:line="360" w:lineRule="exact"/>
              <w:jc w:val="left"/>
              <w:textAlignment w:val="top"/>
              <w:rPr>
                <w:rFonts w:ascii="宋体" w:hAnsi="宋体" w:cs="宋体"/>
                <w:color w:val="000000"/>
                <w:sz w:val="24"/>
              </w:rPr>
            </w:pPr>
            <w:bookmarkStart w:id="10" w:name="tiao_36_kuan_1_xiang_6"/>
            <w:bookmarkEnd w:id="10"/>
            <w:r>
              <w:rPr>
                <w:rFonts w:hint="eastAsia" w:ascii="宋体" w:hAnsi="宋体" w:cs="宋体"/>
                <w:color w:val="000000"/>
                <w:kern w:val="0"/>
                <w:sz w:val="24"/>
              </w:rPr>
              <w:t>　　（六）水利主管部门对矿山开采取水、水土流失防治、防洪安全和非常规水综合利用实施监督管理。</w:t>
            </w:r>
            <w:r>
              <w:fldChar w:fldCharType="begin"/>
            </w:r>
            <w:r>
              <w:instrText xml:space="preserve"> HYPERLINK "javascript:void(0);" </w:instrText>
            </w:r>
            <w:r>
              <w:fldChar w:fldCharType="separate"/>
            </w:r>
            <w:r>
              <w:fldChar w:fldCharType="end"/>
            </w:r>
          </w:p>
        </w:tc>
        <w:tc>
          <w:tcPr>
            <w:tcW w:w="4713" w:type="dxa"/>
            <w:tcBorders>
              <w:top w:val="single" w:color="000000" w:sz="4" w:space="0"/>
              <w:left w:val="single" w:color="000000" w:sz="4" w:space="0"/>
              <w:bottom w:val="nil"/>
              <w:right w:val="single" w:color="000000" w:sz="4" w:space="0"/>
            </w:tcBorders>
            <w:shd w:val="clear" w:color="auto" w:fill="auto"/>
            <w:vAlign w:val="center"/>
          </w:tcPr>
          <w:p w14:paraId="76657792">
            <w:pPr>
              <w:widowControl/>
              <w:spacing w:line="360" w:lineRule="exact"/>
              <w:jc w:val="left"/>
              <w:textAlignment w:val="top"/>
              <w:rPr>
                <w:rFonts w:hint="eastAsia" w:ascii="宋体" w:hAnsi="宋体" w:cs="宋体"/>
                <w:color w:val="000000"/>
                <w:kern w:val="0"/>
                <w:sz w:val="24"/>
              </w:rPr>
            </w:pPr>
            <w:r>
              <w:rPr>
                <w:rFonts w:hint="eastAsia" w:ascii="宋体" w:hAnsi="宋体" w:cs="宋体"/>
                <w:color w:val="000000"/>
                <w:kern w:val="0"/>
                <w:sz w:val="24"/>
              </w:rPr>
              <w:t xml:space="preserve">    </w:t>
            </w:r>
            <w:r>
              <w:rPr>
                <w:rFonts w:hint="eastAsia" w:ascii="宋体" w:hAnsi="宋体" w:cs="宋体"/>
                <w:color w:val="000000"/>
                <w:kern w:val="0"/>
              </w:rPr>
              <w:t xml:space="preserve"> </w:t>
            </w:r>
            <w:r>
              <w:rPr>
                <w:rFonts w:ascii="黑体" w:hAnsi="宋体" w:eastAsia="黑体" w:cs="黑体"/>
                <w:color w:val="000000"/>
                <w:kern w:val="0"/>
              </w:rPr>
              <w:t>第三十六条</w:t>
            </w:r>
            <w:r>
              <w:rPr>
                <w:rFonts w:hint="eastAsia"/>
              </w:rPr>
              <w:t>　</w:t>
            </w:r>
            <w:r>
              <w:rPr>
                <w:rFonts w:hint="eastAsia" w:ascii="宋体" w:hAnsi="宋体" w:cs="宋体"/>
                <w:color w:val="000000"/>
                <w:kern w:val="0"/>
                <w:sz w:val="24"/>
              </w:rPr>
              <w:t>市、旗区人民政府相关部门在绿色矿山监督管理中，应当履行下列职责：</w:t>
            </w:r>
          </w:p>
          <w:p w14:paraId="74210EEF">
            <w:pPr>
              <w:widowControl/>
              <w:spacing w:line="360" w:lineRule="exact"/>
              <w:ind w:firstLine="480" w:firstLineChars="200"/>
              <w:jc w:val="left"/>
              <w:textAlignment w:val="top"/>
              <w:rPr>
                <w:rFonts w:hint="eastAsia" w:ascii="宋体" w:hAnsi="宋体" w:cs="宋体"/>
                <w:color w:val="FF0000"/>
                <w:kern w:val="0"/>
                <w:sz w:val="24"/>
              </w:rPr>
            </w:pPr>
            <w:r>
              <w:rPr>
                <w:rFonts w:hint="eastAsia" w:ascii="宋体" w:hAnsi="宋体" w:cs="宋体"/>
                <w:color w:val="000000"/>
                <w:kern w:val="0"/>
                <w:sz w:val="24"/>
                <w:lang w:eastAsia="zh-CN"/>
              </w:rPr>
              <w:t>（</w:t>
            </w:r>
            <w:r>
              <w:rPr>
                <w:rFonts w:hint="eastAsia" w:ascii="宋体" w:hAnsi="宋体" w:cs="宋体"/>
                <w:color w:val="000000"/>
                <w:kern w:val="0"/>
                <w:sz w:val="24"/>
                <w:lang w:val="en-US" w:eastAsia="zh-CN"/>
              </w:rPr>
              <w:t>一</w:t>
            </w:r>
            <w:r>
              <w:rPr>
                <w:rFonts w:hint="eastAsia" w:ascii="宋体" w:hAnsi="宋体" w:cs="宋体"/>
                <w:color w:val="000000"/>
                <w:kern w:val="0"/>
                <w:sz w:val="24"/>
                <w:lang w:eastAsia="zh-CN"/>
              </w:rPr>
              <w:t>）</w:t>
            </w:r>
            <w:r>
              <w:rPr>
                <w:rFonts w:hint="eastAsia" w:ascii="宋体" w:hAnsi="宋体" w:cs="宋体"/>
                <w:color w:val="FF0000"/>
                <w:kern w:val="0"/>
                <w:sz w:val="24"/>
              </w:rPr>
              <w:t>自然资源主管部门负责矿产资源开发利用方案和矿区生态修复方案等执行情况的监督，依据职责出具绿色矿山审查意见，会同相关部门组织申报、开展评估、核查、抽查等工作。</w:t>
            </w:r>
          </w:p>
          <w:p w14:paraId="51C66DF7">
            <w:pPr>
              <w:widowControl/>
              <w:numPr>
                <w:ilvl w:val="0"/>
                <w:numId w:val="0"/>
              </w:numPr>
              <w:spacing w:line="360" w:lineRule="exact"/>
              <w:ind w:firstLine="480" w:firstLineChars="200"/>
              <w:jc w:val="left"/>
              <w:textAlignment w:val="top"/>
              <w:rPr>
                <w:rFonts w:ascii="宋体" w:hAnsi="宋体" w:cs="宋体"/>
                <w:color w:val="000000"/>
                <w:kern w:val="0"/>
                <w:sz w:val="24"/>
              </w:rPr>
            </w:pPr>
            <w:r>
              <w:rPr>
                <w:rFonts w:hint="eastAsia" w:ascii="宋体" w:hAnsi="宋体" w:cs="宋体"/>
                <w:color w:val="000000"/>
                <w:kern w:val="0"/>
                <w:sz w:val="24"/>
              </w:rPr>
              <w:t>（二）生态环境主管部门负责矿山生态环境保护工作，对矿山废水、废气、固体废物和噪声的达标排放情况实施监督管理。配合自然资源主管部门做好矿山生态环境恢复治理工作。</w:t>
            </w:r>
            <w:r>
              <w:fldChar w:fldCharType="begin"/>
            </w:r>
            <w:r>
              <w:instrText xml:space="preserve"> HYPERLINK "javascript:void(0);" </w:instrText>
            </w:r>
            <w:r>
              <w:fldChar w:fldCharType="separate"/>
            </w:r>
            <w:r>
              <w:fldChar w:fldCharType="end"/>
            </w:r>
          </w:p>
          <w:p w14:paraId="1DCD237A">
            <w:pPr>
              <w:widowControl/>
              <w:spacing w:line="360" w:lineRule="exact"/>
              <w:jc w:val="left"/>
              <w:textAlignment w:val="top"/>
              <w:rPr>
                <w:rFonts w:ascii="宋体" w:hAnsi="宋体" w:cs="宋体"/>
                <w:color w:val="000000"/>
                <w:kern w:val="0"/>
                <w:sz w:val="24"/>
              </w:rPr>
            </w:pPr>
            <w:r>
              <w:rPr>
                <w:rFonts w:hint="eastAsia" w:ascii="宋体" w:hAnsi="宋体" w:cs="宋体"/>
                <w:color w:val="000000"/>
                <w:kern w:val="0"/>
                <w:sz w:val="24"/>
              </w:rPr>
              <w:t>　　（三）应急管理主管部门负责矿山安全生产监督管理，指导矿山安全信息化建设。</w:t>
            </w:r>
            <w:r>
              <w:fldChar w:fldCharType="begin"/>
            </w:r>
            <w:r>
              <w:instrText xml:space="preserve"> HYPERLINK "javascript:void(0);" </w:instrText>
            </w:r>
            <w:r>
              <w:fldChar w:fldCharType="separate"/>
            </w:r>
            <w:r>
              <w:fldChar w:fldCharType="end"/>
            </w:r>
          </w:p>
          <w:p w14:paraId="2BF00F11">
            <w:pPr>
              <w:widowControl/>
              <w:spacing w:line="360" w:lineRule="exact"/>
              <w:jc w:val="left"/>
              <w:textAlignment w:val="top"/>
              <w:rPr>
                <w:rFonts w:ascii="宋体" w:hAnsi="宋体" w:cs="宋体"/>
                <w:color w:val="000000"/>
                <w:kern w:val="0"/>
                <w:sz w:val="24"/>
              </w:rPr>
            </w:pPr>
            <w:r>
              <w:rPr>
                <w:rFonts w:hint="eastAsia" w:ascii="宋体" w:hAnsi="宋体" w:cs="宋体"/>
                <w:color w:val="000000"/>
                <w:kern w:val="0"/>
                <w:sz w:val="24"/>
              </w:rPr>
              <w:t>　　（四）能源主管部门负责能源产业发展规划的完善、先进开采技术和方法的推广、矿山开发项目建设的核准备案工作，加强煤矿安全生产工作。</w:t>
            </w:r>
            <w:r>
              <w:fldChar w:fldCharType="begin"/>
            </w:r>
            <w:r>
              <w:instrText xml:space="preserve"> HYPERLINK "javascript:void(0);" </w:instrText>
            </w:r>
            <w:r>
              <w:fldChar w:fldCharType="separate"/>
            </w:r>
            <w:r>
              <w:fldChar w:fldCharType="end"/>
            </w:r>
          </w:p>
          <w:p w14:paraId="21F85E51">
            <w:pPr>
              <w:widowControl/>
              <w:spacing w:line="360" w:lineRule="exact"/>
              <w:ind w:firstLine="480"/>
              <w:jc w:val="left"/>
              <w:textAlignment w:val="top"/>
              <w:rPr>
                <w:rFonts w:hint="eastAsia" w:ascii="宋体" w:hAnsi="宋体" w:cs="宋体"/>
                <w:color w:val="000000"/>
                <w:kern w:val="0"/>
                <w:sz w:val="24"/>
              </w:rPr>
            </w:pPr>
            <w:r>
              <w:rPr>
                <w:rFonts w:hint="eastAsia" w:ascii="宋体" w:hAnsi="宋体" w:cs="宋体"/>
                <w:color w:val="FF0000"/>
                <w:kern w:val="0"/>
                <w:sz w:val="24"/>
              </w:rPr>
              <w:t>（五）财政主管部门配合自然资源主管部门对采矿权人的矿区生态修复基金账户设立、基金</w:t>
            </w:r>
            <w:r>
              <w:rPr>
                <w:rFonts w:hint="eastAsia" w:ascii="宋体" w:hAnsi="宋体" w:cs="宋体"/>
                <w:color w:val="FF0000"/>
                <w:kern w:val="0"/>
                <w:sz w:val="24"/>
                <w:lang w:val="en-US" w:eastAsia="zh-CN"/>
              </w:rPr>
              <w:t>计提、</w:t>
            </w:r>
            <w:r>
              <w:rPr>
                <w:rFonts w:hint="eastAsia" w:ascii="宋体" w:hAnsi="宋体" w:cs="宋体"/>
                <w:color w:val="FF0000"/>
                <w:kern w:val="0"/>
                <w:sz w:val="24"/>
              </w:rPr>
              <w:t>支出</w:t>
            </w:r>
            <w:r>
              <w:rPr>
                <w:rFonts w:hint="eastAsia" w:ascii="宋体" w:hAnsi="宋体" w:cs="宋体"/>
                <w:color w:val="FF0000"/>
                <w:kern w:val="0"/>
                <w:sz w:val="24"/>
                <w:lang w:val="en-US" w:eastAsia="zh-CN"/>
              </w:rPr>
              <w:t>使用进行</w:t>
            </w:r>
            <w:r>
              <w:rPr>
                <w:rFonts w:hint="eastAsia" w:ascii="宋体" w:hAnsi="宋体" w:cs="宋体"/>
                <w:color w:val="FF0000"/>
                <w:kern w:val="0"/>
                <w:sz w:val="24"/>
              </w:rPr>
              <w:t>监督管理。</w:t>
            </w:r>
          </w:p>
          <w:p w14:paraId="72F2C378">
            <w:pPr>
              <w:widowControl/>
              <w:spacing w:line="360" w:lineRule="exact"/>
              <w:ind w:firstLine="480"/>
              <w:jc w:val="left"/>
              <w:textAlignment w:val="top"/>
              <w:rPr>
                <w:rFonts w:ascii="宋体" w:hAnsi="宋体" w:cs="宋体"/>
                <w:color w:val="000000"/>
                <w:kern w:val="0"/>
                <w:sz w:val="24"/>
              </w:rPr>
            </w:pPr>
            <w:r>
              <w:rPr>
                <w:rFonts w:hint="eastAsia" w:ascii="宋体" w:hAnsi="宋体" w:cs="宋体"/>
                <w:color w:val="000000"/>
                <w:kern w:val="0"/>
                <w:sz w:val="24"/>
              </w:rPr>
              <w:t>（六）水利主管部门对矿山开采取水、水土流失防治、防洪安全和非常规水综合利用实施监督管理。</w:t>
            </w:r>
            <w:r>
              <w:fldChar w:fldCharType="begin"/>
            </w:r>
            <w:r>
              <w:instrText xml:space="preserve"> HYPERLINK "javascript:void(0);" </w:instrText>
            </w:r>
            <w:r>
              <w:fldChar w:fldCharType="separate"/>
            </w:r>
            <w:r>
              <w:fldChar w:fldCharType="end"/>
            </w:r>
          </w:p>
          <w:p w14:paraId="12285038">
            <w:pPr>
              <w:widowControl/>
              <w:spacing w:line="360" w:lineRule="exact"/>
              <w:ind w:firstLine="480" w:firstLineChars="200"/>
              <w:jc w:val="left"/>
              <w:textAlignment w:val="top"/>
              <w:rPr>
                <w:rFonts w:hint="eastAsia" w:ascii="宋体" w:hAnsi="宋体" w:cs="宋体"/>
                <w:color w:val="FF0000"/>
                <w:kern w:val="0"/>
                <w:sz w:val="24"/>
              </w:rPr>
            </w:pPr>
          </w:p>
          <w:p w14:paraId="435CE095">
            <w:pPr>
              <w:widowControl/>
              <w:spacing w:line="360" w:lineRule="exact"/>
              <w:jc w:val="left"/>
              <w:textAlignment w:val="top"/>
              <w:rPr>
                <w:rFonts w:hint="eastAsia" w:ascii="宋体" w:hAnsi="宋体" w:cs="宋体"/>
                <w:color w:val="FF0000"/>
                <w:kern w:val="0"/>
                <w:sz w:val="24"/>
              </w:rPr>
            </w:pPr>
          </w:p>
        </w:tc>
        <w:tc>
          <w:tcPr>
            <w:tcW w:w="4244" w:type="dxa"/>
            <w:tcBorders>
              <w:top w:val="single" w:color="000000" w:sz="4" w:space="0"/>
              <w:left w:val="single" w:color="000000" w:sz="4" w:space="0"/>
              <w:bottom w:val="nil"/>
              <w:right w:val="single" w:color="000000" w:sz="4" w:space="0"/>
            </w:tcBorders>
            <w:shd w:val="clear" w:color="auto" w:fill="auto"/>
            <w:vAlign w:val="center"/>
          </w:tcPr>
          <w:p w14:paraId="46CBCBDF">
            <w:pPr>
              <w:widowControl/>
              <w:spacing w:line="360" w:lineRule="exact"/>
              <w:jc w:val="left"/>
              <w:textAlignment w:val="center"/>
              <w:rPr>
                <w:rFonts w:hint="eastAsia" w:ascii="宋体" w:hAnsi="宋体" w:cs="宋体"/>
                <w:color w:val="000000"/>
                <w:kern w:val="0"/>
                <w:sz w:val="24"/>
              </w:rPr>
            </w:pPr>
            <w:r>
              <w:rPr>
                <w:rFonts w:hint="eastAsia" w:ascii="宋体" w:hAnsi="宋体" w:cs="宋体"/>
                <w:color w:val="000000"/>
                <w:kern w:val="0"/>
                <w:sz w:val="24"/>
              </w:rPr>
              <w:t>《内蒙古自治区人民政府办公厅关于持续推进绿色矿山建设的通知（修订）》（内政办法[2024]13号）附件3：各有关部门推进绿色矿山建设职能职责。</w:t>
            </w:r>
          </w:p>
          <w:p w14:paraId="66877645">
            <w:pPr>
              <w:widowControl/>
              <w:spacing w:line="360" w:lineRule="exact"/>
              <w:jc w:val="left"/>
              <w:textAlignment w:val="center"/>
              <w:rPr>
                <w:rFonts w:hint="eastAsia" w:ascii="宋体" w:hAnsi="宋体" w:cs="宋体"/>
                <w:color w:val="000000"/>
                <w:sz w:val="24"/>
              </w:rPr>
            </w:pPr>
            <w:r>
              <w:rPr>
                <w:rFonts w:hint="eastAsia" w:ascii="宋体" w:hAnsi="宋体" w:cs="宋体"/>
                <w:color w:val="000000"/>
                <w:sz w:val="24"/>
              </w:rPr>
              <w:t>《矿产资源法》第四十九条 采矿权人应当按照规定提取矿区生态修复费用，专门用于矿区生态修复。</w:t>
            </w:r>
          </w:p>
          <w:p w14:paraId="09F8F9CD">
            <w:pPr>
              <w:widowControl/>
              <w:spacing w:line="360" w:lineRule="exact"/>
              <w:jc w:val="left"/>
              <w:textAlignment w:val="center"/>
              <w:rPr>
                <w:rFonts w:hint="default" w:ascii="宋体" w:hAnsi="宋体" w:eastAsia="宋体" w:cs="宋体"/>
                <w:color w:val="000000"/>
                <w:sz w:val="24"/>
                <w:lang w:val="en-US" w:eastAsia="zh-CN"/>
              </w:rPr>
            </w:pPr>
            <w:r>
              <w:rPr>
                <w:rFonts w:hint="eastAsia" w:ascii="宋体" w:hAnsi="宋体" w:cs="宋体"/>
                <w:color w:val="000000"/>
                <w:sz w:val="24"/>
                <w:lang w:eastAsia="zh-CN"/>
              </w:rPr>
              <w:t>《</w:t>
            </w:r>
            <w:r>
              <w:rPr>
                <w:rFonts w:hint="eastAsia" w:ascii="宋体" w:hAnsi="宋体" w:cs="宋体"/>
                <w:color w:val="000000"/>
                <w:sz w:val="24"/>
                <w:lang w:val="en-US" w:eastAsia="zh-CN"/>
              </w:rPr>
              <w:t>鄂尔多斯市矿山地质环境治理恢复基金管理办法</w:t>
            </w:r>
            <w:r>
              <w:rPr>
                <w:rFonts w:hint="eastAsia" w:ascii="宋体" w:hAnsi="宋体" w:cs="宋体"/>
                <w:color w:val="000000"/>
                <w:sz w:val="24"/>
                <w:lang w:eastAsia="zh-CN"/>
              </w:rPr>
              <w:t>》（</w:t>
            </w:r>
            <w:r>
              <w:rPr>
                <w:rFonts w:hint="eastAsia" w:ascii="宋体" w:hAnsi="宋体" w:cs="宋体"/>
                <w:color w:val="000000"/>
                <w:sz w:val="24"/>
                <w:lang w:val="en-US" w:eastAsia="zh-CN"/>
              </w:rPr>
              <w:t>待印发</w:t>
            </w:r>
            <w:r>
              <w:rPr>
                <w:rFonts w:hint="eastAsia" w:ascii="宋体" w:hAnsi="宋体" w:cs="宋体"/>
                <w:color w:val="000000"/>
                <w:sz w:val="24"/>
                <w:lang w:eastAsia="zh-CN"/>
              </w:rPr>
              <w:t>）</w:t>
            </w:r>
            <w:r>
              <w:rPr>
                <w:rFonts w:hint="eastAsia" w:ascii="宋体" w:hAnsi="宋体" w:cs="宋体"/>
                <w:color w:val="000000"/>
                <w:sz w:val="24"/>
                <w:lang w:val="en-US" w:eastAsia="zh-CN"/>
              </w:rPr>
              <w:t xml:space="preserve">第二十三条 部门职责 </w:t>
            </w:r>
            <w:r>
              <w:rPr>
                <w:rFonts w:hint="eastAsia" w:ascii="宋体" w:hAnsi="宋体" w:cs="宋体"/>
                <w:color w:val="000000"/>
                <w:kern w:val="0"/>
                <w:sz w:val="24"/>
              </w:rPr>
              <w:t>自然资源主管部门</w:t>
            </w:r>
            <w:r>
              <w:rPr>
                <w:rFonts w:hint="eastAsia" w:ascii="宋体" w:hAnsi="宋体" w:cs="宋体"/>
                <w:color w:val="000000"/>
                <w:kern w:val="0"/>
                <w:sz w:val="24"/>
                <w:lang w:val="en-US" w:eastAsia="zh-CN"/>
              </w:rPr>
              <w:t>会同</w:t>
            </w:r>
            <w:r>
              <w:rPr>
                <w:rFonts w:hint="eastAsia" w:ascii="宋体" w:hAnsi="宋体" w:cs="宋体"/>
                <w:color w:val="000000"/>
                <w:kern w:val="0"/>
                <w:sz w:val="24"/>
              </w:rPr>
              <w:t>财政部门对采矿权人的</w:t>
            </w:r>
            <w:r>
              <w:rPr>
                <w:rFonts w:hint="eastAsia" w:ascii="宋体" w:hAnsi="宋体" w:cs="宋体"/>
                <w:kern w:val="0"/>
                <w:sz w:val="24"/>
                <w:u w:val="none"/>
              </w:rPr>
              <w:t>基金</w:t>
            </w:r>
            <w:r>
              <w:rPr>
                <w:rFonts w:hint="eastAsia" w:ascii="宋体" w:hAnsi="宋体" w:cs="宋体"/>
                <w:color w:val="000000"/>
                <w:kern w:val="0"/>
                <w:sz w:val="24"/>
              </w:rPr>
              <w:t>账户设立、基金</w:t>
            </w:r>
            <w:r>
              <w:rPr>
                <w:rFonts w:hint="eastAsia" w:ascii="宋体" w:hAnsi="宋体" w:cs="宋体"/>
                <w:color w:val="000000"/>
                <w:kern w:val="0"/>
                <w:sz w:val="24"/>
                <w:lang w:val="en-US" w:eastAsia="zh-CN"/>
              </w:rPr>
              <w:t>计提、</w:t>
            </w:r>
            <w:r>
              <w:rPr>
                <w:rFonts w:hint="eastAsia" w:ascii="宋体" w:hAnsi="宋体" w:cs="宋体"/>
                <w:color w:val="000000"/>
                <w:kern w:val="0"/>
                <w:sz w:val="24"/>
              </w:rPr>
              <w:t>支出</w:t>
            </w:r>
            <w:r>
              <w:rPr>
                <w:rFonts w:hint="eastAsia" w:ascii="宋体" w:hAnsi="宋体" w:cs="宋体"/>
                <w:color w:val="000000"/>
                <w:kern w:val="0"/>
                <w:sz w:val="24"/>
                <w:lang w:val="en-US" w:eastAsia="zh-CN"/>
              </w:rPr>
              <w:t>使用进行</w:t>
            </w:r>
            <w:r>
              <w:rPr>
                <w:rFonts w:hint="eastAsia" w:ascii="宋体" w:hAnsi="宋体" w:cs="宋体"/>
                <w:color w:val="000000"/>
                <w:kern w:val="0"/>
                <w:sz w:val="24"/>
              </w:rPr>
              <w:t>监督管理。</w:t>
            </w:r>
          </w:p>
        </w:tc>
      </w:tr>
      <w:tr w14:paraId="4A6B5EBA">
        <w:tblPrEx>
          <w:tblCellMar>
            <w:top w:w="0" w:type="dxa"/>
            <w:left w:w="108" w:type="dxa"/>
            <w:bottom w:w="0" w:type="dxa"/>
            <w:right w:w="108" w:type="dxa"/>
          </w:tblCellMar>
        </w:tblPrEx>
        <w:trPr>
          <w:trHeight w:val="94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434B">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第三十七条</w:t>
            </w:r>
            <w:r>
              <w:rPr>
                <w:rFonts w:hint="eastAsia" w:ascii="宋体" w:hAnsi="宋体" w:cs="宋体"/>
                <w:color w:val="000000"/>
                <w:kern w:val="0"/>
                <w:sz w:val="24"/>
              </w:rPr>
              <w:t>　市、旗区人民政府应当建立统筹协调、联控联治的区域一体化综合执法体系，对矿山企业进行监督管理。</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71AB">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DC91">
            <w:pPr>
              <w:widowControl/>
              <w:spacing w:line="360" w:lineRule="exact"/>
              <w:jc w:val="left"/>
              <w:rPr>
                <w:rFonts w:ascii="宋体" w:hAnsi="宋体" w:cs="宋体"/>
                <w:color w:val="000000"/>
                <w:sz w:val="24"/>
              </w:rPr>
            </w:pPr>
          </w:p>
        </w:tc>
      </w:tr>
      <w:tr w14:paraId="46A075E6">
        <w:tblPrEx>
          <w:tblCellMar>
            <w:top w:w="0" w:type="dxa"/>
            <w:left w:w="108" w:type="dxa"/>
            <w:bottom w:w="0" w:type="dxa"/>
            <w:right w:w="108" w:type="dxa"/>
          </w:tblCellMar>
        </w:tblPrEx>
        <w:trPr>
          <w:trHeight w:val="126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41388">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hint="eastAsia" w:ascii="宋体" w:hAnsi="宋体" w:cs="宋体"/>
                <w:b/>
                <w:bCs/>
                <w:color w:val="000000"/>
                <w:kern w:val="0"/>
                <w:sz w:val="24"/>
              </w:rPr>
              <w:t xml:space="preserve"> </w:t>
            </w:r>
            <w:r>
              <w:rPr>
                <w:rFonts w:hint="eastAsia" w:ascii="黑体" w:hAnsi="宋体" w:eastAsia="黑体" w:cs="黑体"/>
                <w:color w:val="000000"/>
                <w:kern w:val="0"/>
                <w:sz w:val="24"/>
              </w:rPr>
              <w:t xml:space="preserve"> 第三十八条</w:t>
            </w:r>
            <w:r>
              <w:rPr>
                <w:rFonts w:hint="eastAsia" w:ascii="宋体" w:hAnsi="宋体" w:cs="宋体"/>
                <w:color w:val="E54C5E" w:themeColor="accent6"/>
                <w:kern w:val="0"/>
                <w:sz w:val="24"/>
                <w14:textFill>
                  <w14:solidFill>
                    <w14:schemeClr w14:val="accent6"/>
                  </w14:solidFill>
                </w14:textFill>
              </w:rPr>
              <w:t>　</w:t>
            </w:r>
            <w:r>
              <w:rPr>
                <w:rFonts w:hint="eastAsia" w:ascii="宋体" w:hAnsi="宋体" w:cs="宋体"/>
                <w:color w:val="000000"/>
                <w:kern w:val="0"/>
                <w:sz w:val="24"/>
              </w:rPr>
              <w:t>市人民政府自然资源主管部门会同有关主管</w:t>
            </w:r>
            <w:r>
              <w:rPr>
                <w:rFonts w:hint="eastAsia" w:ascii="宋体" w:hAnsi="宋体" w:cs="宋体"/>
                <w:color w:val="000000"/>
                <w:kern w:val="0"/>
                <w:sz w:val="24"/>
                <w:lang w:val="en-US" w:eastAsia="zh-CN"/>
              </w:rPr>
              <w:t>部门</w:t>
            </w:r>
            <w:r>
              <w:rPr>
                <w:rFonts w:hint="eastAsia" w:ascii="宋体" w:hAnsi="宋体" w:cs="宋体"/>
                <w:color w:val="000000"/>
                <w:kern w:val="0"/>
                <w:sz w:val="24"/>
              </w:rPr>
              <w:t>以政府购买服务的形式确定第三方评估机构开展绿色矿山评估。第三方评估机构应当按照国家、自治区绿色矿山评估的相关规定开展评估工作。</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97568">
            <w:pPr>
              <w:widowControl/>
              <w:spacing w:line="360" w:lineRule="exact"/>
              <w:jc w:val="left"/>
              <w:rPr>
                <w:rFonts w:hint="default" w:ascii="宋体" w:hAnsi="宋体" w:eastAsia="宋体" w:cs="宋体"/>
                <w:color w:val="000000"/>
                <w:sz w:val="24"/>
                <w:lang w:val="en-US" w:eastAsia="zh-CN"/>
              </w:rPr>
            </w:pPr>
            <w:r>
              <w:rPr>
                <w:rFonts w:hint="eastAsia" w:ascii="黑体" w:hAnsi="宋体" w:eastAsia="黑体" w:cs="黑体"/>
                <w:color w:val="000000"/>
                <w:kern w:val="0"/>
                <w:sz w:val="24"/>
              </w:rPr>
              <w:t xml:space="preserve"> </w:t>
            </w:r>
            <w:r>
              <w:rPr>
                <w:rFonts w:hint="eastAsia" w:ascii="黑体" w:hAnsi="宋体" w:eastAsia="黑体" w:cs="黑体"/>
                <w:color w:val="000000"/>
                <w:kern w:val="0"/>
                <w:sz w:val="24"/>
                <w:lang w:val="en-US" w:eastAsia="zh-CN"/>
              </w:rPr>
              <w:t xml:space="preserve">  </w:t>
            </w:r>
            <w:r>
              <w:rPr>
                <w:rFonts w:hint="eastAsia" w:ascii="黑体" w:hAnsi="宋体" w:eastAsia="黑体" w:cs="黑体"/>
                <w:color w:val="000000"/>
                <w:kern w:val="0"/>
                <w:sz w:val="24"/>
              </w:rPr>
              <w:t>第三十八条</w:t>
            </w:r>
            <w:r>
              <w:rPr>
                <w:rFonts w:hint="eastAsia" w:ascii="宋体" w:hAnsi="宋体" w:cs="宋体"/>
                <w:color w:val="E54C5E" w:themeColor="accent6"/>
                <w:kern w:val="0"/>
                <w:sz w:val="24"/>
                <w14:textFill>
                  <w14:solidFill>
                    <w14:schemeClr w14:val="accent6"/>
                  </w14:solidFill>
                </w14:textFill>
              </w:rPr>
              <w:t>　</w:t>
            </w:r>
            <w:r>
              <w:rPr>
                <w:rFonts w:hint="eastAsia" w:ascii="宋体" w:hAnsi="宋体" w:cs="宋体"/>
                <w:color w:val="FF0000"/>
                <w:kern w:val="0"/>
                <w:sz w:val="24"/>
              </w:rPr>
              <w:t>市</w:t>
            </w:r>
            <w:r>
              <w:rPr>
                <w:rFonts w:hint="eastAsia" w:ascii="宋体" w:hAnsi="宋体" w:cs="宋体"/>
                <w:color w:val="FF0000"/>
                <w:kern w:val="0"/>
                <w:sz w:val="24"/>
                <w:lang w:eastAsia="zh-CN"/>
              </w:rPr>
              <w:t>、</w:t>
            </w:r>
            <w:r>
              <w:rPr>
                <w:rFonts w:hint="eastAsia" w:ascii="宋体" w:hAnsi="宋体" w:cs="宋体"/>
                <w:color w:val="FF0000"/>
                <w:kern w:val="0"/>
                <w:sz w:val="24"/>
                <w:lang w:val="en-US" w:eastAsia="zh-CN"/>
              </w:rPr>
              <w:t>旗区</w:t>
            </w:r>
            <w:r>
              <w:rPr>
                <w:rFonts w:hint="eastAsia" w:ascii="宋体" w:hAnsi="宋体" w:cs="宋体"/>
                <w:color w:val="FF0000"/>
                <w:kern w:val="0"/>
                <w:sz w:val="24"/>
              </w:rPr>
              <w:t>人民政府自然资源主管部门会同有关主管</w:t>
            </w:r>
            <w:r>
              <w:rPr>
                <w:rFonts w:hint="eastAsia" w:ascii="宋体" w:hAnsi="宋体" w:cs="宋体"/>
                <w:color w:val="FF0000"/>
                <w:kern w:val="0"/>
                <w:sz w:val="24"/>
                <w:lang w:val="en-US" w:eastAsia="zh-CN"/>
              </w:rPr>
              <w:t>部门组织对绿色矿山申报材料进行初审上报。</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74083">
            <w:pPr>
              <w:widowControl/>
              <w:spacing w:line="360" w:lineRule="exact"/>
              <w:jc w:val="left"/>
              <w:rPr>
                <w:rFonts w:ascii="宋体" w:hAnsi="宋体" w:cs="宋体"/>
                <w:color w:val="000000"/>
                <w:sz w:val="24"/>
              </w:rPr>
            </w:pPr>
            <w:r>
              <w:rPr>
                <w:rFonts w:hint="eastAsia" w:ascii="宋体" w:hAnsi="宋体" w:cs="宋体"/>
                <w:color w:val="000000"/>
                <w:kern w:val="0"/>
                <w:sz w:val="24"/>
              </w:rPr>
              <w:t>《内蒙古自治区人民政府办公厅关于持续推进绿色矿山建设的通知（修订）》（内政办法[2024]13号）正文“严格绿色矿山申报评选流程”，第三方评估工作由省一级组织。</w:t>
            </w:r>
          </w:p>
        </w:tc>
      </w:tr>
      <w:tr w14:paraId="4917F488">
        <w:tblPrEx>
          <w:tblCellMar>
            <w:top w:w="0" w:type="dxa"/>
            <w:left w:w="108" w:type="dxa"/>
            <w:bottom w:w="0" w:type="dxa"/>
            <w:right w:w="108" w:type="dxa"/>
          </w:tblCellMar>
        </w:tblPrEx>
        <w:trPr>
          <w:trHeight w:val="157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906B">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第三十九条</w:t>
            </w:r>
            <w:r>
              <w:rPr>
                <w:rFonts w:hint="eastAsia" w:ascii="宋体" w:hAnsi="宋体" w:cs="宋体"/>
                <w:color w:val="000000"/>
                <w:kern w:val="0"/>
                <w:sz w:val="24"/>
              </w:rPr>
              <w:t>　采矿权人应当按照国家、自治区规定，按时足额计提</w:t>
            </w:r>
            <w:r>
              <w:rPr>
                <w:rFonts w:hint="eastAsia" w:ascii="宋体" w:hAnsi="宋体" w:cs="宋体"/>
                <w:kern w:val="0"/>
                <w:sz w:val="24"/>
                <w:u w:val="single"/>
              </w:rPr>
              <w:t>矿山地质环境治理恢复</w:t>
            </w:r>
            <w:r>
              <w:rPr>
                <w:rFonts w:hint="eastAsia" w:ascii="宋体" w:hAnsi="宋体" w:cs="宋体"/>
                <w:kern w:val="0"/>
                <w:sz w:val="24"/>
                <w:u w:val="none"/>
              </w:rPr>
              <w:t>基金</w:t>
            </w:r>
            <w:r>
              <w:rPr>
                <w:rFonts w:hint="eastAsia" w:ascii="宋体" w:hAnsi="宋体" w:cs="宋体"/>
                <w:color w:val="000000"/>
                <w:kern w:val="0"/>
                <w:sz w:val="24"/>
              </w:rPr>
              <w:t>。</w:t>
            </w:r>
            <w:r>
              <w:rPr>
                <w:rFonts w:hint="eastAsia" w:ascii="宋体" w:hAnsi="宋体" w:cs="宋体"/>
                <w:color w:val="000000"/>
                <w:kern w:val="0"/>
                <w:sz w:val="24"/>
              </w:rPr>
              <w:br w:type="textWrapping"/>
            </w:r>
            <w:r>
              <w:rPr>
                <w:rFonts w:hint="eastAsia" w:ascii="宋体" w:hAnsi="宋体" w:cs="宋体"/>
                <w:color w:val="000000"/>
                <w:kern w:val="0"/>
                <w:sz w:val="24"/>
              </w:rPr>
              <w:t>　　基金的计提、使用和管理应当遵循企业所有、政府监管、专户储存、专款专用的原则。</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F753">
            <w:pPr>
              <w:widowControl/>
              <w:spacing w:line="360" w:lineRule="exact"/>
              <w:jc w:val="left"/>
              <w:rPr>
                <w:rFonts w:ascii="宋体" w:hAnsi="宋体" w:cs="宋体"/>
                <w:color w:val="000000"/>
                <w:sz w:val="24"/>
              </w:rPr>
            </w:pPr>
            <w:r>
              <w:rPr>
                <w:rFonts w:hint="eastAsia" w:ascii="宋体" w:hAnsi="宋体" w:cs="宋体"/>
                <w:color w:val="000000"/>
                <w:kern w:val="0"/>
                <w:sz w:val="24"/>
              </w:rPr>
              <w:t xml:space="preserve"> </w:t>
            </w:r>
            <w:r>
              <w:rPr>
                <w:rFonts w:hint="eastAsia" w:ascii="宋体" w:hAnsi="宋体" w:cs="宋体"/>
                <w:color w:val="000000"/>
                <w:kern w:val="0"/>
                <w:sz w:val="24"/>
                <w:lang w:val="en-US" w:eastAsia="zh-CN"/>
              </w:rPr>
              <w:t xml:space="preserve">  </w:t>
            </w:r>
            <w:r>
              <w:rPr>
                <w:rFonts w:ascii="黑体" w:hAnsi="宋体" w:eastAsia="黑体" w:cs="黑体"/>
                <w:color w:val="000000"/>
                <w:kern w:val="0"/>
                <w:sz w:val="24"/>
              </w:rPr>
              <w:t>第三十九条</w:t>
            </w:r>
            <w:r>
              <w:rPr>
                <w:rFonts w:hint="eastAsia" w:ascii="宋体" w:hAnsi="宋体" w:cs="宋体"/>
                <w:color w:val="000000"/>
                <w:kern w:val="0"/>
                <w:sz w:val="24"/>
              </w:rPr>
              <w:t>　采矿权人应当按照国家、自治区规定，按时足额计提</w:t>
            </w:r>
            <w:r>
              <w:rPr>
                <w:rFonts w:hint="eastAsia" w:ascii="宋体" w:hAnsi="宋体" w:cs="宋体"/>
                <w:color w:val="FF0000"/>
                <w:kern w:val="0"/>
                <w:sz w:val="24"/>
                <w:u w:val="none"/>
                <w:lang w:val="en-US" w:eastAsia="zh-CN"/>
              </w:rPr>
              <w:t>矿区生态修复</w:t>
            </w:r>
            <w:r>
              <w:rPr>
                <w:rFonts w:hint="eastAsia" w:ascii="宋体" w:hAnsi="宋体" w:cs="宋体"/>
                <w:kern w:val="0"/>
                <w:sz w:val="24"/>
                <w:u w:val="none"/>
              </w:rPr>
              <w:t>基金</w:t>
            </w:r>
            <w:r>
              <w:rPr>
                <w:rFonts w:hint="eastAsia" w:ascii="宋体" w:hAnsi="宋体" w:cs="宋体"/>
                <w:color w:val="000000"/>
                <w:kern w:val="0"/>
                <w:sz w:val="24"/>
                <w:u w:val="none"/>
              </w:rPr>
              <w:t>。</w:t>
            </w:r>
            <w:r>
              <w:rPr>
                <w:rFonts w:hint="eastAsia" w:ascii="宋体" w:hAnsi="宋体" w:cs="宋体"/>
                <w:color w:val="000000"/>
                <w:kern w:val="0"/>
                <w:sz w:val="24"/>
                <w:u w:val="none"/>
              </w:rPr>
              <w:br w:type="textWrapping"/>
            </w:r>
            <w:r>
              <w:rPr>
                <w:rFonts w:hint="eastAsia" w:ascii="宋体" w:hAnsi="宋体" w:cs="宋体"/>
                <w:color w:val="000000"/>
                <w:kern w:val="0"/>
                <w:sz w:val="24"/>
              </w:rPr>
              <w:t>　　基金的计提、使用和管理应当遵循企业所有、政府监管、专户储存、专款专用的原则。</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C682F">
            <w:pPr>
              <w:widowControl/>
              <w:spacing w:line="360" w:lineRule="exact"/>
              <w:jc w:val="left"/>
              <w:rPr>
                <w:rFonts w:ascii="宋体" w:hAnsi="宋体" w:cs="宋体"/>
                <w:color w:val="000000"/>
                <w:sz w:val="24"/>
              </w:rPr>
            </w:pPr>
            <w:r>
              <w:rPr>
                <w:rFonts w:hint="eastAsia" w:ascii="宋体" w:hAnsi="宋体" w:cs="宋体"/>
                <w:color w:val="000000"/>
                <w:sz w:val="24"/>
              </w:rPr>
              <w:t>《矿产资源法》第四十九条 采矿权人应当按照规定提取矿区生态修复费用，专门用于矿区生态修复。</w:t>
            </w:r>
          </w:p>
        </w:tc>
      </w:tr>
      <w:tr w14:paraId="2F6A0855">
        <w:tblPrEx>
          <w:tblCellMar>
            <w:top w:w="0" w:type="dxa"/>
            <w:left w:w="108" w:type="dxa"/>
            <w:bottom w:w="0" w:type="dxa"/>
            <w:right w:w="108" w:type="dxa"/>
          </w:tblCellMar>
        </w:tblPrEx>
        <w:trPr>
          <w:trHeight w:val="441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1EA2">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第四十条</w:t>
            </w:r>
            <w:r>
              <w:rPr>
                <w:rFonts w:hint="eastAsia" w:ascii="宋体" w:hAnsi="宋体" w:cs="宋体"/>
                <w:color w:val="000000"/>
                <w:kern w:val="0"/>
                <w:sz w:val="24"/>
              </w:rPr>
              <w:t>　旗区人民政府自然资源、财政主管部门是本行政区域内</w:t>
            </w:r>
            <w:r>
              <w:rPr>
                <w:rFonts w:hint="eastAsia" w:ascii="宋体" w:hAnsi="宋体" w:cs="宋体"/>
                <w:kern w:val="0"/>
                <w:sz w:val="24"/>
                <w:u w:val="single"/>
              </w:rPr>
              <w:t>矿山地质环境治理恢复</w:t>
            </w:r>
            <w:r>
              <w:rPr>
                <w:rFonts w:hint="eastAsia" w:ascii="宋体" w:hAnsi="宋体" w:cs="宋体"/>
                <w:kern w:val="0"/>
                <w:sz w:val="24"/>
                <w:u w:val="none"/>
              </w:rPr>
              <w:t>基金</w:t>
            </w:r>
            <w:r>
              <w:rPr>
                <w:rFonts w:hint="eastAsia" w:ascii="宋体" w:hAnsi="宋体" w:cs="宋体"/>
                <w:color w:val="000000"/>
                <w:kern w:val="0"/>
                <w:sz w:val="24"/>
              </w:rPr>
              <w:t>的管理责任主体，市自然资源、财政主管部门是本行政区域内</w:t>
            </w:r>
            <w:r>
              <w:rPr>
                <w:rFonts w:hint="eastAsia" w:ascii="宋体" w:hAnsi="宋体" w:cs="宋体"/>
                <w:kern w:val="0"/>
                <w:sz w:val="24"/>
                <w:u w:val="single"/>
              </w:rPr>
              <w:t>矿山地质环境治理恢复</w:t>
            </w:r>
            <w:r>
              <w:rPr>
                <w:rFonts w:hint="eastAsia" w:ascii="宋体" w:hAnsi="宋体" w:cs="宋体"/>
                <w:kern w:val="0"/>
                <w:sz w:val="24"/>
                <w:u w:val="none"/>
              </w:rPr>
              <w:t>基金</w:t>
            </w:r>
            <w:r>
              <w:rPr>
                <w:rFonts w:hint="eastAsia" w:ascii="宋体" w:hAnsi="宋体" w:cs="宋体"/>
                <w:color w:val="000000"/>
                <w:kern w:val="0"/>
                <w:sz w:val="24"/>
              </w:rPr>
              <w:t>的监督责任主体。</w:t>
            </w:r>
            <w:r>
              <w:rPr>
                <w:rFonts w:hint="eastAsia" w:ascii="宋体" w:hAnsi="宋体" w:cs="宋体"/>
                <w:color w:val="000000"/>
                <w:kern w:val="0"/>
                <w:sz w:val="24"/>
              </w:rPr>
              <w:br w:type="textWrapping"/>
            </w:r>
            <w:r>
              <w:rPr>
                <w:rFonts w:hint="eastAsia" w:ascii="宋体" w:hAnsi="宋体" w:cs="宋体"/>
                <w:color w:val="000000"/>
                <w:kern w:val="0"/>
                <w:sz w:val="24"/>
              </w:rPr>
              <w:t>　　市、旗区人民政府自然资源、财政等主管部门应当对</w:t>
            </w:r>
            <w:r>
              <w:rPr>
                <w:rFonts w:hint="eastAsia" w:ascii="宋体" w:hAnsi="宋体" w:cs="宋体"/>
                <w:kern w:val="0"/>
                <w:sz w:val="24"/>
                <w:u w:val="single"/>
              </w:rPr>
              <w:t>矿山地质环境保护与土地复垦</w:t>
            </w:r>
            <w:r>
              <w:rPr>
                <w:rFonts w:hint="eastAsia" w:ascii="宋体" w:hAnsi="宋体" w:cs="宋体"/>
                <w:kern w:val="0"/>
                <w:sz w:val="24"/>
                <w:u w:val="none"/>
              </w:rPr>
              <w:t>方案</w:t>
            </w:r>
            <w:r>
              <w:rPr>
                <w:rFonts w:hint="eastAsia" w:ascii="宋体" w:hAnsi="宋体" w:cs="宋体"/>
                <w:color w:val="000000"/>
                <w:kern w:val="0"/>
                <w:sz w:val="24"/>
              </w:rPr>
              <w:t>、年度治理计划书的执行情况以及</w:t>
            </w:r>
            <w:r>
              <w:rPr>
                <w:rFonts w:hint="eastAsia" w:ascii="宋体" w:hAnsi="宋体" w:cs="宋体"/>
                <w:kern w:val="0"/>
                <w:sz w:val="24"/>
                <w:u w:val="single"/>
              </w:rPr>
              <w:t>矿山地质环境治理恢复</w:t>
            </w:r>
            <w:r>
              <w:rPr>
                <w:rFonts w:hint="eastAsia" w:ascii="宋体" w:hAnsi="宋体" w:cs="宋体"/>
                <w:kern w:val="0"/>
                <w:sz w:val="24"/>
                <w:u w:val="none"/>
              </w:rPr>
              <w:t>基金</w:t>
            </w:r>
            <w:r>
              <w:rPr>
                <w:rFonts w:hint="eastAsia" w:ascii="宋体" w:hAnsi="宋体" w:cs="宋体"/>
                <w:color w:val="000000"/>
                <w:kern w:val="0"/>
                <w:sz w:val="24"/>
              </w:rPr>
              <w:t>的计提、存储、提取、使用等情况进行监督管理。</w:t>
            </w:r>
            <w:r>
              <w:rPr>
                <w:rFonts w:hint="eastAsia" w:ascii="宋体" w:hAnsi="宋体" w:cs="宋体"/>
                <w:color w:val="000000"/>
                <w:kern w:val="0"/>
                <w:sz w:val="24"/>
              </w:rPr>
              <w:br w:type="textWrapping"/>
            </w:r>
            <w:r>
              <w:rPr>
                <w:rFonts w:hint="eastAsia" w:ascii="宋体" w:hAnsi="宋体" w:cs="宋体"/>
                <w:color w:val="000000"/>
                <w:kern w:val="0"/>
                <w:sz w:val="24"/>
              </w:rPr>
              <w:t>　　市、旗区人民政府应当制定</w:t>
            </w:r>
            <w:r>
              <w:rPr>
                <w:rFonts w:hint="eastAsia" w:ascii="宋体" w:hAnsi="宋体" w:cs="宋体"/>
                <w:kern w:val="0"/>
                <w:sz w:val="24"/>
                <w:u w:val="single"/>
              </w:rPr>
              <w:t>矿山地质环境治理恢复</w:t>
            </w:r>
            <w:r>
              <w:rPr>
                <w:rFonts w:hint="eastAsia" w:ascii="宋体" w:hAnsi="宋体" w:cs="宋体"/>
                <w:kern w:val="0"/>
                <w:sz w:val="24"/>
                <w:u w:val="none"/>
              </w:rPr>
              <w:t>基金</w:t>
            </w:r>
            <w:r>
              <w:rPr>
                <w:rFonts w:hint="eastAsia" w:ascii="宋体" w:hAnsi="宋体" w:cs="宋体"/>
                <w:color w:val="000000"/>
                <w:kern w:val="0"/>
                <w:sz w:val="24"/>
              </w:rPr>
              <w:t>管理配套规定，明确基金的计提、存储、提取，使用的条件、范围、程序和监督管理的方式、权限等内容。</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93DC3">
            <w:pPr>
              <w:widowControl/>
              <w:spacing w:line="360" w:lineRule="exact"/>
              <w:jc w:val="left"/>
              <w:rPr>
                <w:rFonts w:ascii="宋体" w:hAnsi="宋体" w:cs="宋体"/>
                <w:color w:val="000000"/>
                <w:sz w:val="24"/>
              </w:rPr>
            </w:pPr>
            <w:r>
              <w:rPr>
                <w:rFonts w:hint="eastAsia" w:ascii="宋体" w:hAnsi="宋体" w:cs="宋体"/>
                <w:color w:val="000000"/>
                <w:kern w:val="0"/>
                <w:sz w:val="24"/>
              </w:rPr>
              <w:t xml:space="preserve"> </w:t>
            </w:r>
            <w:r>
              <w:rPr>
                <w:rFonts w:hint="eastAsia" w:ascii="宋体" w:hAnsi="宋体" w:cs="宋体"/>
                <w:color w:val="000000"/>
                <w:kern w:val="0"/>
                <w:sz w:val="24"/>
                <w:lang w:val="en-US" w:eastAsia="zh-CN"/>
              </w:rPr>
              <w:t xml:space="preserve">  </w:t>
            </w:r>
            <w:r>
              <w:rPr>
                <w:rFonts w:ascii="黑体" w:hAnsi="宋体" w:eastAsia="黑体" w:cs="黑体"/>
                <w:color w:val="000000"/>
                <w:kern w:val="0"/>
                <w:sz w:val="24"/>
              </w:rPr>
              <w:t>第四十条</w:t>
            </w:r>
            <w:r>
              <w:rPr>
                <w:rFonts w:hint="eastAsia" w:ascii="宋体" w:hAnsi="宋体" w:cs="宋体"/>
                <w:color w:val="000000"/>
                <w:kern w:val="0"/>
                <w:sz w:val="24"/>
              </w:rPr>
              <w:t>　旗区人民政府自然资源、财政主管部门是本行政区域内</w:t>
            </w:r>
            <w:r>
              <w:rPr>
                <w:rFonts w:hint="eastAsia" w:ascii="宋体" w:hAnsi="宋体" w:cs="宋体"/>
                <w:color w:val="FF0000"/>
                <w:kern w:val="0"/>
                <w:sz w:val="24"/>
              </w:rPr>
              <w:t>矿区生态修复</w:t>
            </w:r>
            <w:r>
              <w:rPr>
                <w:rFonts w:hint="eastAsia" w:ascii="宋体" w:hAnsi="宋体" w:cs="宋体"/>
                <w:kern w:val="0"/>
                <w:sz w:val="24"/>
                <w:u w:val="none"/>
              </w:rPr>
              <w:t>基金</w:t>
            </w:r>
            <w:r>
              <w:rPr>
                <w:rFonts w:hint="eastAsia" w:ascii="宋体" w:hAnsi="宋体" w:cs="宋体"/>
                <w:color w:val="000000"/>
                <w:kern w:val="0"/>
                <w:sz w:val="24"/>
              </w:rPr>
              <w:t>的管理责任主体，市自然资源、财政主管部门是本行政区域内</w:t>
            </w:r>
            <w:r>
              <w:rPr>
                <w:rFonts w:hint="eastAsia" w:ascii="宋体" w:hAnsi="宋体" w:cs="宋体"/>
                <w:color w:val="FF0000"/>
                <w:kern w:val="0"/>
                <w:sz w:val="24"/>
              </w:rPr>
              <w:t>矿区生态修复</w:t>
            </w:r>
            <w:r>
              <w:rPr>
                <w:rFonts w:hint="eastAsia" w:ascii="宋体" w:hAnsi="宋体" w:cs="宋体"/>
                <w:kern w:val="0"/>
                <w:sz w:val="24"/>
                <w:u w:val="none"/>
              </w:rPr>
              <w:t>基金</w:t>
            </w:r>
            <w:r>
              <w:rPr>
                <w:rFonts w:hint="eastAsia" w:ascii="宋体" w:hAnsi="宋体" w:cs="宋体"/>
                <w:color w:val="000000"/>
                <w:kern w:val="0"/>
                <w:sz w:val="24"/>
              </w:rPr>
              <w:t>的监督责任主体。</w:t>
            </w:r>
            <w:r>
              <w:rPr>
                <w:rFonts w:hint="eastAsia" w:ascii="宋体" w:hAnsi="宋体" w:cs="宋体"/>
                <w:color w:val="000000"/>
                <w:kern w:val="0"/>
                <w:sz w:val="24"/>
              </w:rPr>
              <w:br w:type="textWrapping"/>
            </w:r>
            <w:r>
              <w:rPr>
                <w:rFonts w:hint="eastAsia" w:ascii="宋体" w:hAnsi="宋体" w:cs="宋体"/>
                <w:color w:val="000000"/>
                <w:kern w:val="0"/>
                <w:sz w:val="24"/>
              </w:rPr>
              <w:t>　　市、旗区人民政府自然资源、财政等主管部门应当对</w:t>
            </w:r>
            <w:r>
              <w:rPr>
                <w:rFonts w:hint="eastAsia" w:ascii="宋体" w:hAnsi="宋体" w:cs="宋体"/>
                <w:color w:val="FF0000"/>
                <w:kern w:val="0"/>
                <w:sz w:val="24"/>
              </w:rPr>
              <w:t>矿区生态修复</w:t>
            </w:r>
            <w:r>
              <w:rPr>
                <w:rFonts w:hint="eastAsia" w:ascii="宋体" w:hAnsi="宋体" w:cs="宋体"/>
                <w:kern w:val="0"/>
                <w:sz w:val="24"/>
                <w:u w:val="none"/>
              </w:rPr>
              <w:t>方案</w:t>
            </w:r>
            <w:r>
              <w:rPr>
                <w:rFonts w:hint="eastAsia" w:ascii="宋体" w:hAnsi="宋体" w:cs="宋体"/>
                <w:color w:val="000000"/>
                <w:kern w:val="0"/>
                <w:sz w:val="24"/>
              </w:rPr>
              <w:t>、年度治理计划书的执行情况以及</w:t>
            </w:r>
            <w:r>
              <w:rPr>
                <w:rFonts w:hint="eastAsia" w:ascii="宋体" w:hAnsi="宋体" w:cs="宋体"/>
                <w:color w:val="FF0000"/>
                <w:kern w:val="0"/>
                <w:sz w:val="24"/>
              </w:rPr>
              <w:t>矿区生态修复</w:t>
            </w:r>
            <w:r>
              <w:rPr>
                <w:rFonts w:hint="eastAsia" w:ascii="宋体" w:hAnsi="宋体" w:cs="宋体"/>
                <w:kern w:val="0"/>
                <w:sz w:val="24"/>
                <w:u w:val="none"/>
              </w:rPr>
              <w:t>基金</w:t>
            </w:r>
            <w:r>
              <w:rPr>
                <w:rFonts w:hint="eastAsia" w:ascii="宋体" w:hAnsi="宋体" w:cs="宋体"/>
                <w:color w:val="000000"/>
                <w:kern w:val="0"/>
                <w:sz w:val="24"/>
              </w:rPr>
              <w:t>的计提、存储、提取、使用等情况进行监督管理。</w:t>
            </w:r>
            <w:r>
              <w:rPr>
                <w:rFonts w:hint="eastAsia" w:ascii="宋体" w:hAnsi="宋体" w:cs="宋体"/>
                <w:color w:val="000000"/>
                <w:kern w:val="0"/>
                <w:sz w:val="24"/>
              </w:rPr>
              <w:br w:type="textWrapping"/>
            </w:r>
            <w:r>
              <w:rPr>
                <w:rFonts w:hint="eastAsia" w:ascii="宋体" w:hAnsi="宋体" w:cs="宋体"/>
                <w:color w:val="000000"/>
                <w:kern w:val="0"/>
                <w:sz w:val="24"/>
              </w:rPr>
              <w:t>　　市、旗区人民政府应当制定</w:t>
            </w:r>
            <w:r>
              <w:rPr>
                <w:rFonts w:hint="eastAsia" w:ascii="宋体" w:hAnsi="宋体" w:cs="宋体"/>
                <w:color w:val="FF0000"/>
                <w:kern w:val="0"/>
                <w:sz w:val="24"/>
              </w:rPr>
              <w:t>矿区生态修复</w:t>
            </w:r>
            <w:r>
              <w:rPr>
                <w:rFonts w:hint="eastAsia" w:ascii="宋体" w:hAnsi="宋体" w:cs="宋体"/>
                <w:kern w:val="0"/>
                <w:sz w:val="24"/>
                <w:u w:val="none"/>
              </w:rPr>
              <w:t>基金</w:t>
            </w:r>
            <w:r>
              <w:rPr>
                <w:rFonts w:hint="eastAsia" w:ascii="宋体" w:hAnsi="宋体" w:cs="宋体"/>
                <w:color w:val="000000"/>
                <w:kern w:val="0"/>
                <w:sz w:val="24"/>
              </w:rPr>
              <w:t>管理配套规定，明确基金的计提、存储、提取，使用的条件、范围、程序和监督管理的方式、权限等内容。</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92C8">
            <w:pPr>
              <w:widowControl/>
              <w:spacing w:line="360" w:lineRule="exact"/>
              <w:jc w:val="left"/>
              <w:rPr>
                <w:rFonts w:hint="eastAsia" w:ascii="宋体" w:hAnsi="宋体" w:cs="宋体"/>
                <w:color w:val="000000"/>
                <w:sz w:val="24"/>
              </w:rPr>
            </w:pPr>
            <w:r>
              <w:rPr>
                <w:rFonts w:hint="eastAsia" w:ascii="宋体" w:hAnsi="宋体" w:cs="宋体"/>
                <w:color w:val="000000"/>
                <w:sz w:val="24"/>
              </w:rPr>
              <w:t>《矿产资源法》第四十六条 开采矿产资源前，采矿权人应当依照法律、法规和国务院自然资源主管部门的规定以及矿业权出让合同编制矿区生态修复方案，随开采方案报原矿权出让部门批准。</w:t>
            </w:r>
          </w:p>
          <w:p w14:paraId="009E8A4D">
            <w:pPr>
              <w:widowControl/>
              <w:spacing w:line="360" w:lineRule="exact"/>
              <w:ind w:firstLine="480" w:firstLineChars="200"/>
              <w:jc w:val="left"/>
              <w:rPr>
                <w:rFonts w:ascii="宋体" w:hAnsi="宋体" w:cs="宋体"/>
                <w:color w:val="000000"/>
                <w:sz w:val="24"/>
              </w:rPr>
            </w:pPr>
            <w:r>
              <w:rPr>
                <w:rFonts w:hint="eastAsia" w:ascii="宋体" w:hAnsi="宋体" w:cs="宋体"/>
                <w:color w:val="000000"/>
                <w:sz w:val="24"/>
              </w:rPr>
              <w:t>第四十九条 采矿权人应当按照规定提取矿区生态修复费用，专门用于矿区生态修复。</w:t>
            </w:r>
          </w:p>
        </w:tc>
      </w:tr>
      <w:tr w14:paraId="035CD88F">
        <w:tblPrEx>
          <w:tblCellMar>
            <w:top w:w="0" w:type="dxa"/>
            <w:left w:w="108" w:type="dxa"/>
            <w:bottom w:w="0" w:type="dxa"/>
            <w:right w:w="108" w:type="dxa"/>
          </w:tblCellMar>
        </w:tblPrEx>
        <w:trPr>
          <w:trHeight w:val="105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51B6D">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第四十一条</w:t>
            </w:r>
            <w:r>
              <w:rPr>
                <w:rFonts w:hint="eastAsia" w:ascii="宋体" w:hAnsi="宋体" w:cs="宋体"/>
                <w:color w:val="000000"/>
                <w:kern w:val="0"/>
                <w:sz w:val="24"/>
              </w:rPr>
              <w:t>　采矿权人应当根据</w:t>
            </w:r>
            <w:r>
              <w:rPr>
                <w:rFonts w:hint="eastAsia" w:ascii="宋体" w:hAnsi="宋体" w:cs="宋体"/>
                <w:kern w:val="0"/>
                <w:sz w:val="24"/>
                <w:u w:val="single"/>
              </w:rPr>
              <w:t>矿山地质环境保护与土地复垦</w:t>
            </w:r>
            <w:r>
              <w:rPr>
                <w:rFonts w:hint="eastAsia" w:ascii="宋体" w:hAnsi="宋体" w:cs="宋体"/>
                <w:kern w:val="0"/>
                <w:sz w:val="24"/>
                <w:u w:val="none"/>
              </w:rPr>
              <w:t>方案</w:t>
            </w:r>
            <w:r>
              <w:rPr>
                <w:rFonts w:hint="eastAsia" w:ascii="宋体" w:hAnsi="宋体" w:cs="宋体"/>
                <w:color w:val="000000"/>
                <w:kern w:val="0"/>
                <w:sz w:val="24"/>
              </w:rPr>
              <w:t>编制年度治理计划，明确年度治理内容、范围、基金使用计划。</w:t>
            </w:r>
            <w:r>
              <w:rPr>
                <w:rFonts w:hint="eastAsia" w:ascii="宋体" w:hAnsi="宋体" w:cs="宋体"/>
                <w:color w:val="000000"/>
                <w:kern w:val="0"/>
                <w:sz w:val="24"/>
              </w:rPr>
              <w:br w:type="textWrapping"/>
            </w:r>
            <w:r>
              <w:rPr>
                <w:rFonts w:hint="eastAsia" w:ascii="宋体" w:hAnsi="宋体" w:cs="宋体"/>
                <w:color w:val="000000"/>
                <w:kern w:val="0"/>
                <w:sz w:val="24"/>
              </w:rPr>
              <w:t>　　采矿权人可以根据年度基金使用计划，向旗区人民政府自然资源主管部门提出使用</w:t>
            </w:r>
            <w:r>
              <w:rPr>
                <w:rFonts w:hint="eastAsia" w:ascii="宋体" w:hAnsi="宋体" w:cs="宋体"/>
                <w:kern w:val="0"/>
                <w:sz w:val="24"/>
                <w:u w:val="single"/>
              </w:rPr>
              <w:t>矿山地质环境治理恢复</w:t>
            </w:r>
            <w:r>
              <w:rPr>
                <w:rFonts w:hint="eastAsia" w:ascii="宋体" w:hAnsi="宋体" w:cs="宋体"/>
                <w:kern w:val="0"/>
                <w:sz w:val="24"/>
                <w:u w:val="none"/>
              </w:rPr>
              <w:t>基金</w:t>
            </w:r>
            <w:r>
              <w:rPr>
                <w:rFonts w:hint="eastAsia" w:ascii="宋体" w:hAnsi="宋体" w:cs="宋体"/>
                <w:color w:val="000000"/>
                <w:kern w:val="0"/>
                <w:sz w:val="24"/>
              </w:rPr>
              <w:t>申请。旗区人民政府自然资源主管部门收到申请15个工作日内，组织相关监管单位进行现场核查，经核查符合</w:t>
            </w:r>
            <w:r>
              <w:rPr>
                <w:rFonts w:hint="eastAsia" w:ascii="宋体" w:hAnsi="宋体" w:cs="宋体"/>
                <w:kern w:val="0"/>
                <w:sz w:val="24"/>
                <w:u w:val="single"/>
              </w:rPr>
              <w:t>矿山地质环境保护与土地复垦</w:t>
            </w:r>
            <w:r>
              <w:rPr>
                <w:rFonts w:hint="eastAsia" w:ascii="宋体" w:hAnsi="宋体" w:cs="宋体"/>
                <w:kern w:val="0"/>
                <w:sz w:val="24"/>
                <w:u w:val="none"/>
              </w:rPr>
              <w:t>方案</w:t>
            </w:r>
            <w:r>
              <w:rPr>
                <w:rFonts w:hint="eastAsia" w:ascii="宋体" w:hAnsi="宋体" w:cs="宋体"/>
                <w:color w:val="000000"/>
                <w:kern w:val="0"/>
                <w:sz w:val="24"/>
              </w:rPr>
              <w:t>的，出具使用意见，采矿权人可凭使用意见，从银行基金账户中划转相应基金的存款。</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8656">
            <w:pPr>
              <w:widowControl/>
              <w:spacing w:line="360" w:lineRule="exact"/>
              <w:jc w:val="left"/>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w:t>
            </w:r>
            <w:r>
              <w:rPr>
                <w:rFonts w:hint="eastAsia" w:ascii="黑体" w:hAnsi="宋体" w:eastAsia="黑体" w:cs="黑体"/>
                <w:color w:val="000000"/>
                <w:kern w:val="0"/>
                <w:sz w:val="24"/>
                <w:lang w:val="en-US" w:eastAsia="zh-CN"/>
              </w:rPr>
              <w:t xml:space="preserve"> </w:t>
            </w:r>
            <w:r>
              <w:rPr>
                <w:rFonts w:ascii="黑体" w:hAnsi="宋体" w:eastAsia="黑体" w:cs="黑体"/>
                <w:color w:val="000000"/>
                <w:kern w:val="0"/>
                <w:sz w:val="24"/>
              </w:rPr>
              <w:t>第四十一条</w:t>
            </w:r>
            <w:r>
              <w:rPr>
                <w:rFonts w:hint="eastAsia" w:ascii="宋体" w:hAnsi="宋体" w:cs="宋体"/>
                <w:color w:val="000000"/>
                <w:kern w:val="0"/>
                <w:sz w:val="24"/>
              </w:rPr>
              <w:t>　采矿权人应当根据</w:t>
            </w:r>
            <w:r>
              <w:rPr>
                <w:rFonts w:hint="eastAsia" w:ascii="宋体" w:hAnsi="宋体" w:cs="宋体"/>
                <w:color w:val="FF0000"/>
                <w:kern w:val="0"/>
                <w:sz w:val="24"/>
              </w:rPr>
              <w:t>矿区生态修复</w:t>
            </w:r>
            <w:r>
              <w:rPr>
                <w:rFonts w:hint="eastAsia" w:ascii="宋体" w:hAnsi="宋体" w:cs="宋体"/>
                <w:kern w:val="0"/>
                <w:sz w:val="24"/>
                <w:u w:val="none"/>
              </w:rPr>
              <w:t>方案</w:t>
            </w:r>
            <w:r>
              <w:rPr>
                <w:rFonts w:hint="eastAsia" w:ascii="宋体" w:hAnsi="宋体" w:cs="宋体"/>
                <w:color w:val="000000"/>
                <w:kern w:val="0"/>
                <w:sz w:val="24"/>
              </w:rPr>
              <w:t>编制年度治理计划，明确年度治理内容、范围、基金使用计划。</w:t>
            </w:r>
            <w:r>
              <w:rPr>
                <w:rFonts w:hint="eastAsia" w:ascii="宋体" w:hAnsi="宋体" w:cs="宋体"/>
                <w:color w:val="000000"/>
                <w:kern w:val="0"/>
                <w:sz w:val="24"/>
              </w:rPr>
              <w:br w:type="textWrapping"/>
            </w:r>
            <w:r>
              <w:rPr>
                <w:rFonts w:hint="eastAsia" w:ascii="宋体" w:hAnsi="宋体" w:cs="宋体"/>
                <w:color w:val="000000"/>
                <w:kern w:val="0"/>
                <w:sz w:val="24"/>
              </w:rPr>
              <w:t>　　采矿权人可以根据年度基金使用计划，向旗区人民政府自然资源主管部门提出使用</w:t>
            </w:r>
            <w:r>
              <w:rPr>
                <w:rFonts w:hint="eastAsia" w:ascii="宋体" w:hAnsi="宋体" w:cs="宋体"/>
                <w:color w:val="FF0000"/>
                <w:kern w:val="0"/>
                <w:sz w:val="24"/>
              </w:rPr>
              <w:t>矿区生态修复</w:t>
            </w:r>
            <w:r>
              <w:rPr>
                <w:rFonts w:hint="eastAsia" w:ascii="宋体" w:hAnsi="宋体" w:cs="宋体"/>
                <w:kern w:val="0"/>
                <w:sz w:val="24"/>
                <w:u w:val="none"/>
              </w:rPr>
              <w:t>基金</w:t>
            </w:r>
            <w:r>
              <w:rPr>
                <w:rFonts w:hint="eastAsia" w:ascii="宋体" w:hAnsi="宋体" w:cs="宋体"/>
                <w:color w:val="000000"/>
                <w:kern w:val="0"/>
                <w:sz w:val="24"/>
              </w:rPr>
              <w:t>申请。旗区人民政府自然资源主管部门收到申请15个工作日内，组织相关监管单位进行现场核查，经核查符合</w:t>
            </w:r>
            <w:r>
              <w:rPr>
                <w:rFonts w:hint="eastAsia" w:ascii="宋体" w:hAnsi="宋体" w:cs="宋体"/>
                <w:color w:val="FF0000"/>
                <w:kern w:val="0"/>
                <w:sz w:val="24"/>
              </w:rPr>
              <w:t>矿区生态修复</w:t>
            </w:r>
            <w:r>
              <w:rPr>
                <w:rFonts w:hint="eastAsia" w:ascii="宋体" w:hAnsi="宋体" w:cs="宋体"/>
                <w:kern w:val="0"/>
                <w:sz w:val="24"/>
                <w:u w:val="none"/>
              </w:rPr>
              <w:t>方案</w:t>
            </w:r>
            <w:r>
              <w:rPr>
                <w:rFonts w:hint="eastAsia" w:ascii="宋体" w:hAnsi="宋体" w:cs="宋体"/>
                <w:color w:val="000000"/>
                <w:kern w:val="0"/>
                <w:sz w:val="24"/>
              </w:rPr>
              <w:t>的，出具使用意见，采矿权人可凭使用意见，从银行基金账户中划转相应基金的存款。</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93E4">
            <w:pPr>
              <w:widowControl/>
              <w:spacing w:line="360" w:lineRule="exact"/>
              <w:jc w:val="left"/>
              <w:rPr>
                <w:rFonts w:hint="eastAsia" w:ascii="宋体" w:hAnsi="宋体" w:cs="宋体"/>
                <w:color w:val="000000"/>
                <w:sz w:val="24"/>
              </w:rPr>
            </w:pPr>
            <w:r>
              <w:rPr>
                <w:rFonts w:hint="eastAsia" w:ascii="宋体" w:hAnsi="宋体" w:cs="宋体"/>
                <w:color w:val="000000"/>
                <w:sz w:val="24"/>
              </w:rPr>
              <w:t>《矿产资源法》第四十六条 开采矿产资源前，采矿权人应当依照法律、法规和国务院自然资源主管部门的规定以及矿业权出让合同编制矿区生态修复方案，随开采方案报原矿权出让部门批准。</w:t>
            </w:r>
          </w:p>
          <w:p w14:paraId="44D80CAB">
            <w:pPr>
              <w:widowControl/>
              <w:spacing w:line="360" w:lineRule="exact"/>
              <w:ind w:firstLine="480" w:firstLineChars="200"/>
              <w:jc w:val="left"/>
              <w:rPr>
                <w:rFonts w:ascii="宋体" w:hAnsi="宋体" w:cs="宋体"/>
                <w:color w:val="000000"/>
                <w:sz w:val="24"/>
              </w:rPr>
            </w:pPr>
            <w:r>
              <w:rPr>
                <w:rFonts w:hint="eastAsia" w:ascii="宋体" w:hAnsi="宋体" w:cs="宋体"/>
                <w:color w:val="000000"/>
                <w:sz w:val="24"/>
              </w:rPr>
              <w:t>第四十九条 采矿权人应当按照规定提取矿区生态修复费用，专门用于矿区生态修复。</w:t>
            </w:r>
          </w:p>
        </w:tc>
      </w:tr>
      <w:tr w14:paraId="59A39AA3">
        <w:tblPrEx>
          <w:tblCellMar>
            <w:top w:w="0" w:type="dxa"/>
            <w:left w:w="108" w:type="dxa"/>
            <w:bottom w:w="0" w:type="dxa"/>
            <w:right w:w="108" w:type="dxa"/>
          </w:tblCellMar>
        </w:tblPrEx>
        <w:trPr>
          <w:trHeight w:val="4146"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0188">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第四十二条</w:t>
            </w:r>
            <w:r>
              <w:rPr>
                <w:rFonts w:hint="eastAsia" w:ascii="宋体" w:hAnsi="宋体" w:cs="宋体"/>
                <w:color w:val="000000"/>
                <w:kern w:val="0"/>
                <w:sz w:val="24"/>
              </w:rPr>
              <w:t>　采矿权人的基金计提、使用、管理以及</w:t>
            </w:r>
            <w:r>
              <w:rPr>
                <w:rFonts w:hint="eastAsia" w:ascii="宋体" w:hAnsi="宋体" w:cs="宋体"/>
                <w:kern w:val="0"/>
                <w:sz w:val="24"/>
                <w:u w:val="single"/>
              </w:rPr>
              <w:t>矿山地质环境保护与土地复垦</w:t>
            </w:r>
            <w:r>
              <w:rPr>
                <w:rFonts w:hint="eastAsia" w:ascii="宋体" w:hAnsi="宋体" w:cs="宋体"/>
                <w:kern w:val="0"/>
                <w:sz w:val="24"/>
                <w:u w:val="none"/>
              </w:rPr>
              <w:t>方案</w:t>
            </w:r>
            <w:r>
              <w:rPr>
                <w:rFonts w:hint="eastAsia" w:ascii="宋体" w:hAnsi="宋体" w:cs="宋体"/>
                <w:color w:val="000000"/>
                <w:kern w:val="0"/>
                <w:sz w:val="24"/>
              </w:rPr>
              <w:t>的执行情况，应当列入矿业权人勘查开采信息公示系统。</w:t>
            </w:r>
            <w:r>
              <w:rPr>
                <w:rFonts w:hint="eastAsia" w:ascii="宋体" w:hAnsi="宋体" w:cs="宋体"/>
                <w:color w:val="000000"/>
                <w:kern w:val="0"/>
                <w:sz w:val="24"/>
              </w:rPr>
              <w:br w:type="textWrapping"/>
            </w:r>
            <w:r>
              <w:rPr>
                <w:rFonts w:hint="eastAsia" w:ascii="宋体" w:hAnsi="宋体" w:cs="宋体"/>
                <w:color w:val="000000"/>
                <w:kern w:val="0"/>
                <w:sz w:val="24"/>
              </w:rPr>
              <w:t>　　对于未按照规定计提、使用、管理</w:t>
            </w:r>
            <w:r>
              <w:rPr>
                <w:rFonts w:hint="eastAsia" w:ascii="宋体" w:hAnsi="宋体" w:cs="宋体"/>
                <w:kern w:val="0"/>
                <w:sz w:val="24"/>
                <w:u w:val="single"/>
              </w:rPr>
              <w:t>矿山地质环境治理恢复</w:t>
            </w:r>
            <w:r>
              <w:rPr>
                <w:rFonts w:hint="eastAsia" w:ascii="宋体" w:hAnsi="宋体" w:cs="宋体"/>
                <w:kern w:val="0"/>
                <w:sz w:val="24"/>
                <w:u w:val="none"/>
              </w:rPr>
              <w:t>基金</w:t>
            </w:r>
            <w:r>
              <w:rPr>
                <w:rFonts w:hint="eastAsia" w:ascii="宋体" w:hAnsi="宋体" w:cs="宋体"/>
                <w:color w:val="000000"/>
                <w:kern w:val="0"/>
                <w:sz w:val="24"/>
              </w:rPr>
              <w:t>以及未按照</w:t>
            </w:r>
            <w:r>
              <w:rPr>
                <w:rFonts w:hint="eastAsia" w:ascii="宋体" w:hAnsi="宋体" w:cs="宋体"/>
                <w:kern w:val="0"/>
                <w:sz w:val="24"/>
                <w:u w:val="single"/>
              </w:rPr>
              <w:t>矿山地质环境保护与土地复垦</w:t>
            </w:r>
            <w:r>
              <w:rPr>
                <w:rFonts w:hint="eastAsia" w:ascii="宋体" w:hAnsi="宋体" w:cs="宋体"/>
                <w:kern w:val="0"/>
                <w:sz w:val="24"/>
                <w:u w:val="none"/>
              </w:rPr>
              <w:t>方案</w:t>
            </w:r>
            <w:r>
              <w:rPr>
                <w:rFonts w:hint="eastAsia" w:ascii="宋体" w:hAnsi="宋体" w:cs="宋体"/>
                <w:color w:val="000000"/>
                <w:kern w:val="0"/>
                <w:sz w:val="24"/>
              </w:rPr>
              <w:t>进行保护与土地复垦工作的采矿权人，应当列入矿业权人异常名录或者严重违法失信名单，责令其限期整改。</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2331E">
            <w:pPr>
              <w:widowControl/>
              <w:spacing w:line="360" w:lineRule="exact"/>
              <w:ind w:firstLine="480" w:firstLineChars="200"/>
              <w:jc w:val="left"/>
              <w:rPr>
                <w:rFonts w:ascii="宋体" w:hAnsi="宋体" w:cs="宋体"/>
                <w:color w:val="000000"/>
                <w:sz w:val="24"/>
              </w:rPr>
            </w:pPr>
            <w:r>
              <w:rPr>
                <w:rFonts w:ascii="黑体" w:hAnsi="宋体" w:eastAsia="黑体" w:cs="黑体"/>
                <w:color w:val="000000"/>
                <w:kern w:val="0"/>
                <w:sz w:val="24"/>
              </w:rPr>
              <w:t>第四十二条</w:t>
            </w:r>
            <w:r>
              <w:rPr>
                <w:rFonts w:hint="eastAsia" w:ascii="宋体" w:hAnsi="宋体" w:cs="宋体"/>
                <w:color w:val="000000"/>
                <w:kern w:val="0"/>
                <w:sz w:val="24"/>
              </w:rPr>
              <w:t>　采矿权人的基金计提、使用、管理以及</w:t>
            </w:r>
            <w:r>
              <w:rPr>
                <w:rFonts w:hint="eastAsia" w:ascii="宋体" w:hAnsi="宋体" w:cs="宋体"/>
                <w:color w:val="FF0000"/>
                <w:kern w:val="0"/>
                <w:sz w:val="24"/>
              </w:rPr>
              <w:t>矿区生态修复</w:t>
            </w:r>
            <w:r>
              <w:rPr>
                <w:rFonts w:hint="eastAsia" w:ascii="宋体" w:hAnsi="宋体" w:cs="宋体"/>
                <w:kern w:val="0"/>
                <w:sz w:val="24"/>
                <w:u w:val="none"/>
              </w:rPr>
              <w:t>方案</w:t>
            </w:r>
            <w:r>
              <w:rPr>
                <w:rFonts w:hint="eastAsia" w:ascii="宋体" w:hAnsi="宋体" w:cs="宋体"/>
                <w:color w:val="000000"/>
                <w:kern w:val="0"/>
                <w:sz w:val="24"/>
              </w:rPr>
              <w:t>的执行情况，应当列入矿业权人勘查开采信息公示系统。</w:t>
            </w:r>
            <w:r>
              <w:rPr>
                <w:rFonts w:hint="eastAsia" w:ascii="宋体" w:hAnsi="宋体" w:cs="宋体"/>
                <w:color w:val="000000"/>
                <w:kern w:val="0"/>
                <w:sz w:val="24"/>
              </w:rPr>
              <w:br w:type="textWrapping"/>
            </w:r>
            <w:r>
              <w:rPr>
                <w:rFonts w:hint="eastAsia" w:ascii="宋体" w:hAnsi="宋体" w:cs="宋体"/>
                <w:color w:val="000000"/>
                <w:kern w:val="0"/>
                <w:sz w:val="24"/>
              </w:rPr>
              <w:t>　　对于未按照规定计提、使用、管理</w:t>
            </w:r>
            <w:r>
              <w:rPr>
                <w:rFonts w:hint="eastAsia" w:ascii="宋体" w:hAnsi="宋体" w:cs="宋体"/>
                <w:color w:val="FF0000"/>
                <w:kern w:val="0"/>
                <w:sz w:val="24"/>
              </w:rPr>
              <w:t>矿区生态修复</w:t>
            </w:r>
            <w:r>
              <w:rPr>
                <w:rFonts w:hint="eastAsia" w:ascii="宋体" w:hAnsi="宋体" w:cs="宋体"/>
                <w:kern w:val="0"/>
                <w:sz w:val="24"/>
                <w:u w:val="none"/>
              </w:rPr>
              <w:t>基金</w:t>
            </w:r>
            <w:r>
              <w:rPr>
                <w:rFonts w:hint="eastAsia" w:ascii="宋体" w:hAnsi="宋体" w:cs="宋体"/>
                <w:color w:val="000000"/>
                <w:kern w:val="0"/>
                <w:sz w:val="24"/>
              </w:rPr>
              <w:t>以及未按照</w:t>
            </w:r>
            <w:r>
              <w:rPr>
                <w:rFonts w:hint="eastAsia" w:ascii="宋体" w:hAnsi="宋体" w:cs="宋体"/>
                <w:color w:val="FF0000"/>
                <w:kern w:val="0"/>
                <w:sz w:val="24"/>
              </w:rPr>
              <w:t>矿区生态修复</w:t>
            </w:r>
            <w:r>
              <w:rPr>
                <w:rFonts w:hint="eastAsia" w:ascii="宋体" w:hAnsi="宋体" w:cs="宋体"/>
                <w:kern w:val="0"/>
                <w:sz w:val="24"/>
                <w:u w:val="none"/>
              </w:rPr>
              <w:t>方案</w:t>
            </w:r>
            <w:r>
              <w:rPr>
                <w:rFonts w:hint="eastAsia" w:ascii="宋体" w:hAnsi="宋体" w:cs="宋体"/>
                <w:color w:val="000000"/>
                <w:kern w:val="0"/>
                <w:sz w:val="24"/>
              </w:rPr>
              <w:t>进行保护与土地复垦工作的采矿权人，应当列入矿业权人异常名录或者严重违法失信名单，责令其限期整改。</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AF76B">
            <w:pPr>
              <w:widowControl/>
              <w:spacing w:line="360" w:lineRule="exact"/>
              <w:jc w:val="left"/>
              <w:rPr>
                <w:rFonts w:hint="eastAsia" w:ascii="宋体" w:hAnsi="宋体" w:cs="宋体"/>
                <w:color w:val="000000"/>
                <w:sz w:val="24"/>
              </w:rPr>
            </w:pPr>
            <w:r>
              <w:rPr>
                <w:rFonts w:hint="eastAsia" w:ascii="宋体" w:hAnsi="宋体" w:cs="宋体"/>
                <w:color w:val="000000"/>
                <w:sz w:val="24"/>
              </w:rPr>
              <w:t>《矿产资源法》第四十六条 开采矿产资源前，采矿权人应当依照法律、法规和国务院自然资源主管部门的规定以及矿业权出让合同编制矿区生态修复方案，随开采方案报原矿权出让部门批准。</w:t>
            </w:r>
          </w:p>
          <w:p w14:paraId="7C3CC8CA">
            <w:pPr>
              <w:widowControl/>
              <w:spacing w:line="360" w:lineRule="exact"/>
              <w:ind w:firstLine="480" w:firstLineChars="200"/>
              <w:jc w:val="left"/>
              <w:rPr>
                <w:rFonts w:hint="eastAsia" w:ascii="宋体" w:hAnsi="宋体" w:cs="宋体"/>
                <w:color w:val="000000"/>
                <w:sz w:val="24"/>
              </w:rPr>
            </w:pPr>
            <w:r>
              <w:rPr>
                <w:rFonts w:hint="eastAsia" w:ascii="宋体" w:hAnsi="宋体" w:cs="宋体"/>
                <w:color w:val="000000"/>
                <w:sz w:val="24"/>
              </w:rPr>
              <w:t>第四十九条 采矿权人应当按照规定提取矿区生态修复费用，专门用于矿区生态修复。</w:t>
            </w:r>
          </w:p>
        </w:tc>
      </w:tr>
      <w:tr w14:paraId="01FC1537">
        <w:tblPrEx>
          <w:tblCellMar>
            <w:top w:w="0" w:type="dxa"/>
            <w:left w:w="108" w:type="dxa"/>
            <w:bottom w:w="0" w:type="dxa"/>
            <w:right w:w="108" w:type="dxa"/>
          </w:tblCellMar>
        </w:tblPrEx>
        <w:trPr>
          <w:trHeight w:val="441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0F141">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第四十三条</w:t>
            </w:r>
            <w:r>
              <w:rPr>
                <w:rFonts w:hint="eastAsia" w:ascii="宋体" w:hAnsi="宋体" w:cs="宋体"/>
                <w:color w:val="000000"/>
                <w:kern w:val="0"/>
                <w:sz w:val="24"/>
              </w:rPr>
              <w:t>　纳入绿色矿山名录的采矿权人应当持续开展绿色矿山维护。有以下情形之一的，由旗区人民政府自然资源主管部门逐级上报至自治区自然资源主管部门，建议将其</w:t>
            </w:r>
            <w:r>
              <w:rPr>
                <w:rFonts w:hint="eastAsia" w:ascii="宋体" w:hAnsi="宋体" w:cs="宋体"/>
                <w:color w:val="auto"/>
                <w:kern w:val="0"/>
                <w:sz w:val="24"/>
              </w:rPr>
              <w:t>移出自治区绿色矿山名录：</w:t>
            </w:r>
            <w:r>
              <w:rPr>
                <w:rFonts w:hint="eastAsia" w:ascii="宋体" w:hAnsi="宋体" w:cs="宋体"/>
                <w:color w:val="000000"/>
                <w:kern w:val="0"/>
                <w:sz w:val="24"/>
              </w:rPr>
              <w:br w:type="textWrapping"/>
            </w:r>
            <w:r>
              <w:rPr>
                <w:rFonts w:hint="eastAsia" w:ascii="宋体" w:hAnsi="宋体" w:cs="宋体"/>
                <w:color w:val="000000"/>
                <w:kern w:val="0"/>
                <w:sz w:val="24"/>
              </w:rPr>
              <w:t>　 （一）矿山闭坑、政策性关闭的；</w:t>
            </w:r>
            <w:r>
              <w:rPr>
                <w:rFonts w:hint="eastAsia" w:ascii="宋体" w:hAnsi="宋体" w:cs="宋体"/>
                <w:color w:val="000000"/>
                <w:kern w:val="0"/>
                <w:sz w:val="24"/>
              </w:rPr>
              <w:br w:type="textWrapping"/>
            </w:r>
            <w:r>
              <w:rPr>
                <w:rFonts w:hint="eastAsia" w:ascii="宋体" w:hAnsi="宋体" w:cs="宋体"/>
                <w:color w:val="000000"/>
                <w:kern w:val="0"/>
                <w:sz w:val="24"/>
              </w:rPr>
              <w:t>　 （二）采矿证注销、吊销的；</w:t>
            </w:r>
            <w:r>
              <w:rPr>
                <w:rFonts w:hint="eastAsia" w:ascii="宋体" w:hAnsi="宋体" w:cs="宋体"/>
                <w:color w:val="000000"/>
                <w:kern w:val="0"/>
                <w:sz w:val="24"/>
              </w:rPr>
              <w:br w:type="textWrapping"/>
            </w:r>
            <w:r>
              <w:rPr>
                <w:rFonts w:hint="eastAsia" w:ascii="宋体" w:hAnsi="宋体" w:cs="宋体"/>
                <w:color w:val="000000"/>
                <w:kern w:val="0"/>
                <w:sz w:val="24"/>
              </w:rPr>
              <w:t>　 （三）绿色矿山监督检查不合格且一年内整改未达到绿色矿山建设要求的；</w:t>
            </w:r>
            <w:r>
              <w:rPr>
                <w:rFonts w:hint="eastAsia" w:ascii="宋体" w:hAnsi="宋体" w:cs="宋体"/>
                <w:color w:val="000000"/>
                <w:kern w:val="0"/>
                <w:sz w:val="24"/>
              </w:rPr>
              <w:br w:type="textWrapping"/>
            </w:r>
            <w:r>
              <w:rPr>
                <w:rFonts w:hint="eastAsia" w:ascii="宋体" w:hAnsi="宋体" w:cs="宋体"/>
                <w:color w:val="000000"/>
                <w:kern w:val="0"/>
                <w:sz w:val="24"/>
              </w:rPr>
              <w:t>　 （四）采矿权人和第三方评估机构弄虚作假纳入绿色矿山名录的；</w:t>
            </w:r>
            <w:r>
              <w:rPr>
                <w:rFonts w:hint="eastAsia" w:ascii="宋体" w:hAnsi="宋体" w:cs="宋体"/>
                <w:color w:val="000000"/>
                <w:kern w:val="0"/>
                <w:sz w:val="24"/>
              </w:rPr>
              <w:br w:type="textWrapping"/>
            </w:r>
            <w:r>
              <w:rPr>
                <w:rFonts w:hint="eastAsia" w:ascii="宋体" w:hAnsi="宋体" w:cs="宋体"/>
                <w:color w:val="000000"/>
                <w:kern w:val="0"/>
                <w:sz w:val="24"/>
              </w:rPr>
              <w:t>　 （五）列入严重违法失信名单等原因或者被相关行业主管部门认定不宜继续纳入绿色矿山名录的。</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5154">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55F0B">
            <w:pPr>
              <w:widowControl/>
              <w:spacing w:line="360" w:lineRule="exact"/>
              <w:jc w:val="left"/>
              <w:rPr>
                <w:rFonts w:ascii="宋体" w:hAnsi="宋体" w:cs="宋体"/>
                <w:color w:val="000000"/>
                <w:sz w:val="24"/>
              </w:rPr>
            </w:pPr>
          </w:p>
        </w:tc>
      </w:tr>
      <w:tr w14:paraId="68915793">
        <w:tblPrEx>
          <w:tblCellMar>
            <w:top w:w="0" w:type="dxa"/>
            <w:left w:w="108" w:type="dxa"/>
            <w:bottom w:w="0" w:type="dxa"/>
            <w:right w:w="108" w:type="dxa"/>
          </w:tblCellMar>
        </w:tblPrEx>
        <w:trPr>
          <w:trHeight w:val="94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63869">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第四十四条</w:t>
            </w:r>
            <w:r>
              <w:rPr>
                <w:rFonts w:hint="eastAsia" w:ascii="宋体" w:hAnsi="宋体" w:cs="宋体"/>
                <w:color w:val="000000"/>
                <w:kern w:val="0"/>
                <w:sz w:val="24"/>
              </w:rPr>
              <w:t>　</w:t>
            </w:r>
            <w:r>
              <w:rPr>
                <w:rFonts w:hint="eastAsia" w:ascii="宋体" w:hAnsi="宋体" w:cs="宋体"/>
                <w:kern w:val="0"/>
                <w:sz w:val="24"/>
                <w:u w:val="single"/>
              </w:rPr>
              <w:t>市、旗区人民政府应当按照“</w:t>
            </w:r>
            <w:bookmarkStart w:id="11" w:name="_GoBack"/>
            <w:r>
              <w:rPr>
                <w:rFonts w:hint="eastAsia" w:ascii="宋体" w:hAnsi="宋体" w:cs="宋体"/>
                <w:kern w:val="0"/>
                <w:sz w:val="24"/>
                <w:u w:val="single"/>
              </w:rPr>
              <w:t>双随机</w:t>
            </w:r>
            <w:bookmarkEnd w:id="11"/>
            <w:r>
              <w:rPr>
                <w:rFonts w:hint="eastAsia" w:ascii="宋体" w:hAnsi="宋体" w:cs="宋体"/>
                <w:kern w:val="0"/>
                <w:sz w:val="24"/>
                <w:u w:val="single"/>
                <w:lang w:eastAsia="zh-CN"/>
              </w:rPr>
              <w:t>、</w:t>
            </w:r>
            <w:r>
              <w:rPr>
                <w:rFonts w:hint="eastAsia" w:ascii="宋体" w:hAnsi="宋体" w:cs="宋体"/>
                <w:kern w:val="0"/>
                <w:sz w:val="24"/>
                <w:u w:val="single"/>
              </w:rPr>
              <w:t>一公开”的方式，</w:t>
            </w:r>
            <w:r>
              <w:rPr>
                <w:rFonts w:hint="eastAsia" w:ascii="宋体" w:hAnsi="宋体" w:cs="宋体"/>
                <w:color w:val="000000"/>
                <w:kern w:val="0"/>
                <w:sz w:val="24"/>
              </w:rPr>
              <w:t>对已列入绿色矿山名录的矿山企业进行检查，检查结果向社会公告。</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2AF0">
            <w:pPr>
              <w:widowControl/>
              <w:spacing w:line="360" w:lineRule="exact"/>
              <w:jc w:val="left"/>
              <w:rPr>
                <w:rFonts w:ascii="宋体" w:hAnsi="宋体" w:cs="宋体"/>
                <w:color w:val="000000"/>
                <w:sz w:val="24"/>
              </w:rPr>
            </w:pPr>
            <w:r>
              <w:rPr>
                <w:rFonts w:hint="eastAsia" w:ascii="宋体" w:hAnsi="宋体" w:cs="宋体"/>
                <w:color w:val="000000"/>
                <w:kern w:val="0"/>
                <w:sz w:val="24"/>
              </w:rPr>
              <w:t xml:space="preserve"> </w:t>
            </w:r>
            <w:r>
              <w:rPr>
                <w:rFonts w:hint="eastAsia" w:ascii="宋体" w:hAnsi="宋体" w:cs="宋体"/>
                <w:color w:val="000000"/>
                <w:kern w:val="0"/>
                <w:sz w:val="24"/>
                <w:lang w:val="en-US" w:eastAsia="zh-CN"/>
              </w:rPr>
              <w:t xml:space="preserve">  </w:t>
            </w:r>
            <w:r>
              <w:rPr>
                <w:rFonts w:ascii="黑体" w:hAnsi="宋体" w:eastAsia="黑体" w:cs="黑体"/>
                <w:color w:val="000000"/>
                <w:kern w:val="0"/>
                <w:sz w:val="24"/>
              </w:rPr>
              <w:t>第四十四条</w:t>
            </w:r>
            <w:r>
              <w:rPr>
                <w:rFonts w:hint="eastAsia" w:ascii="宋体" w:hAnsi="宋体" w:cs="宋体"/>
                <w:color w:val="000000"/>
                <w:kern w:val="0"/>
                <w:sz w:val="24"/>
              </w:rPr>
              <w:t>　</w:t>
            </w:r>
            <w:r>
              <w:rPr>
                <w:rFonts w:hint="eastAsia" w:ascii="宋体" w:hAnsi="宋体" w:cs="宋体"/>
                <w:color w:val="FF0000"/>
                <w:kern w:val="0"/>
                <w:sz w:val="24"/>
              </w:rPr>
              <w:t>市、旗区自然资源主管部门联合有关主管部门按照“双随机</w:t>
            </w:r>
            <w:r>
              <w:rPr>
                <w:rFonts w:hint="eastAsia" w:ascii="宋体" w:hAnsi="宋体" w:cs="宋体"/>
                <w:color w:val="FF0000"/>
                <w:kern w:val="0"/>
                <w:sz w:val="24"/>
                <w:lang w:eastAsia="zh-CN"/>
              </w:rPr>
              <w:t>、</w:t>
            </w:r>
            <w:r>
              <w:rPr>
                <w:rFonts w:hint="eastAsia" w:ascii="宋体" w:hAnsi="宋体" w:cs="宋体"/>
                <w:color w:val="FF0000"/>
                <w:kern w:val="0"/>
                <w:sz w:val="24"/>
              </w:rPr>
              <w:t>一公开”的方式，</w:t>
            </w:r>
            <w:r>
              <w:rPr>
                <w:rFonts w:hint="eastAsia" w:ascii="宋体" w:hAnsi="宋体" w:cs="宋体"/>
                <w:color w:val="000000"/>
                <w:kern w:val="0"/>
                <w:sz w:val="24"/>
              </w:rPr>
              <w:t>对已列入绿色矿山名录的矿山企业进行检查，检查结果向社会公告。</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6F8E">
            <w:pPr>
              <w:widowControl/>
              <w:spacing w:line="360" w:lineRule="exact"/>
              <w:jc w:val="left"/>
              <w:rPr>
                <w:rFonts w:ascii="宋体" w:hAnsi="宋体" w:cs="宋体"/>
                <w:color w:val="000000"/>
                <w:sz w:val="24"/>
              </w:rPr>
            </w:pPr>
            <w:r>
              <w:rPr>
                <w:rFonts w:hint="eastAsia" w:ascii="宋体" w:hAnsi="宋体" w:cs="宋体"/>
                <w:color w:val="000000"/>
                <w:kern w:val="0"/>
                <w:sz w:val="24"/>
              </w:rPr>
              <w:t>《内蒙古自治区人民政府办公厅关于持续推进绿色矿山建设的通知（修订）》（内政办法[2024]13号）正文“加强考核管理”。</w:t>
            </w:r>
          </w:p>
        </w:tc>
      </w:tr>
      <w:tr w14:paraId="3C219723">
        <w:tblPrEx>
          <w:tblCellMar>
            <w:top w:w="0" w:type="dxa"/>
            <w:left w:w="108" w:type="dxa"/>
            <w:bottom w:w="0" w:type="dxa"/>
            <w:right w:w="108" w:type="dxa"/>
          </w:tblCellMar>
        </w:tblPrEx>
        <w:trPr>
          <w:trHeight w:val="31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FC6B">
            <w:pPr>
              <w:widowControl/>
              <w:spacing w:line="360" w:lineRule="exact"/>
              <w:jc w:val="center"/>
              <w:textAlignment w:val="center"/>
              <w:rPr>
                <w:rFonts w:ascii="黑体" w:hAnsi="宋体" w:eastAsia="黑体" w:cs="黑体"/>
                <w:color w:val="000000"/>
                <w:sz w:val="24"/>
              </w:rPr>
            </w:pPr>
            <w:r>
              <w:rPr>
                <w:rFonts w:ascii="黑体" w:hAnsi="宋体" w:eastAsia="黑体" w:cs="黑体"/>
                <w:color w:val="000000"/>
                <w:kern w:val="0"/>
                <w:sz w:val="24"/>
              </w:rPr>
              <w:t>第四章　法律责任</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5752">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C2A1C">
            <w:pPr>
              <w:widowControl/>
              <w:spacing w:line="360" w:lineRule="exact"/>
              <w:jc w:val="left"/>
              <w:rPr>
                <w:rFonts w:ascii="宋体" w:hAnsi="宋体" w:cs="宋体"/>
                <w:color w:val="000000"/>
                <w:sz w:val="24"/>
              </w:rPr>
            </w:pPr>
          </w:p>
        </w:tc>
      </w:tr>
      <w:tr w14:paraId="37A789F2">
        <w:tblPrEx>
          <w:tblCellMar>
            <w:top w:w="0" w:type="dxa"/>
            <w:left w:w="108" w:type="dxa"/>
            <w:bottom w:w="0" w:type="dxa"/>
            <w:right w:w="108" w:type="dxa"/>
          </w:tblCellMar>
        </w:tblPrEx>
        <w:trPr>
          <w:trHeight w:val="220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225C">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第四十五条</w:t>
            </w:r>
            <w:r>
              <w:rPr>
                <w:rFonts w:hint="eastAsia" w:ascii="宋体" w:hAnsi="宋体" w:cs="宋体"/>
                <w:color w:val="000000"/>
                <w:kern w:val="0"/>
                <w:sz w:val="24"/>
              </w:rPr>
              <w:t>　违反本条例规定的行为，有关法律、法规已经作出具体处罚规定的，从其规定。</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FB5C">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7D65">
            <w:pPr>
              <w:widowControl/>
              <w:spacing w:line="360" w:lineRule="exact"/>
              <w:jc w:val="left"/>
              <w:rPr>
                <w:rFonts w:ascii="宋体" w:hAnsi="宋体" w:cs="宋体"/>
                <w:color w:val="000000"/>
                <w:sz w:val="24"/>
              </w:rPr>
            </w:pPr>
          </w:p>
        </w:tc>
      </w:tr>
      <w:tr w14:paraId="4A3590F3">
        <w:tblPrEx>
          <w:tblCellMar>
            <w:top w:w="0" w:type="dxa"/>
            <w:left w:w="108" w:type="dxa"/>
            <w:bottom w:w="0" w:type="dxa"/>
            <w:right w:w="108" w:type="dxa"/>
          </w:tblCellMar>
        </w:tblPrEx>
        <w:trPr>
          <w:trHeight w:val="157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BAE1B">
            <w:pPr>
              <w:widowControl/>
              <w:spacing w:line="360" w:lineRule="exact"/>
              <w:ind w:firstLine="480"/>
              <w:jc w:val="left"/>
              <w:textAlignment w:val="top"/>
              <w:rPr>
                <w:rFonts w:ascii="宋体" w:hAnsi="宋体" w:cs="宋体"/>
                <w:color w:val="000000"/>
                <w:sz w:val="24"/>
              </w:rPr>
            </w:pPr>
            <w:r>
              <w:rPr>
                <w:rFonts w:ascii="黑体" w:hAnsi="宋体" w:eastAsia="黑体" w:cs="黑体"/>
                <w:color w:val="000000"/>
                <w:kern w:val="0"/>
                <w:sz w:val="24"/>
              </w:rPr>
              <w:t>第四十六条</w:t>
            </w:r>
            <w:r>
              <w:rPr>
                <w:rFonts w:hint="eastAsia" w:ascii="宋体" w:hAnsi="宋体" w:cs="宋体"/>
                <w:color w:val="000000"/>
                <w:kern w:val="0"/>
                <w:sz w:val="24"/>
              </w:rPr>
              <w:t>　</w:t>
            </w:r>
            <w:r>
              <w:rPr>
                <w:rFonts w:hint="eastAsia" w:ascii="宋体" w:hAnsi="宋体" w:cs="宋体"/>
                <w:kern w:val="0"/>
                <w:sz w:val="24"/>
                <w:u w:val="none"/>
              </w:rPr>
              <w:t>违反本条例第八条第二款规定，采矿权人未达到方案确定的开采回采率、采矿贫化率、选矿回收率、矿山水循环利用率和土地复垦率等指标的</w:t>
            </w:r>
            <w:r>
              <w:rPr>
                <w:rFonts w:hint="eastAsia" w:ascii="宋体" w:hAnsi="宋体" w:cs="宋体"/>
                <w:color w:val="000000"/>
                <w:kern w:val="0"/>
                <w:sz w:val="24"/>
                <w:u w:val="none"/>
              </w:rPr>
              <w:t>，</w:t>
            </w:r>
            <w:r>
              <w:rPr>
                <w:rFonts w:hint="eastAsia" w:ascii="宋体" w:hAnsi="宋体" w:cs="宋体"/>
                <w:color w:val="000000"/>
                <w:kern w:val="0"/>
                <w:sz w:val="24"/>
              </w:rPr>
              <w:t>由市、旗区人民政府自然资源主管部门责令限期改正，</w:t>
            </w:r>
            <w:r>
              <w:rPr>
                <w:rFonts w:hint="eastAsia" w:ascii="宋体" w:hAnsi="宋体" w:cs="宋体"/>
                <w:kern w:val="0"/>
                <w:sz w:val="24"/>
                <w:u w:val="single"/>
              </w:rPr>
              <w:t>处5万元以上50万元以下的罚款</w:t>
            </w:r>
            <w:r>
              <w:rPr>
                <w:rFonts w:hint="eastAsia" w:ascii="宋体" w:hAnsi="宋体" w:cs="宋体"/>
                <w:color w:val="000000"/>
                <w:kern w:val="0"/>
                <w:sz w:val="24"/>
              </w:rPr>
              <w:t>；逾期不改正的，由采矿许可证颁发机关依法吊销采矿许可证。</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4E00">
            <w:pPr>
              <w:widowControl/>
              <w:spacing w:line="360" w:lineRule="exact"/>
              <w:rPr>
                <w:rFonts w:ascii="宋体" w:hAnsi="宋体" w:cs="宋体"/>
                <w:color w:val="000000"/>
                <w:sz w:val="24"/>
              </w:rPr>
            </w:pPr>
            <w:r>
              <w:rPr>
                <w:rFonts w:ascii="黑体" w:hAnsi="宋体" w:eastAsia="黑体" w:cs="黑体"/>
                <w:color w:val="FF0000"/>
                <w:kern w:val="0"/>
                <w:sz w:val="24"/>
              </w:rPr>
              <w:t xml:space="preserve"> </w:t>
            </w:r>
            <w:r>
              <w:rPr>
                <w:rFonts w:hint="eastAsia" w:ascii="黑体" w:hAnsi="宋体" w:eastAsia="黑体" w:cs="黑体"/>
                <w:color w:val="FF0000"/>
                <w:kern w:val="0"/>
                <w:sz w:val="24"/>
                <w:lang w:val="en-US" w:eastAsia="zh-CN"/>
              </w:rPr>
              <w:t xml:space="preserve">  </w:t>
            </w:r>
            <w:r>
              <w:rPr>
                <w:rFonts w:ascii="黑体" w:hAnsi="宋体" w:eastAsia="黑体" w:cs="黑体"/>
                <w:color w:val="auto"/>
                <w:kern w:val="0"/>
                <w:sz w:val="24"/>
              </w:rPr>
              <w:t>第四十六条</w:t>
            </w:r>
            <w:r>
              <w:rPr>
                <w:rFonts w:hint="eastAsia" w:ascii="宋体" w:hAnsi="宋体" w:cs="宋体"/>
                <w:b/>
                <w:bCs/>
                <w:color w:val="auto"/>
                <w:kern w:val="0"/>
                <w:sz w:val="24"/>
              </w:rPr>
              <w:t>　</w:t>
            </w:r>
            <w:r>
              <w:rPr>
                <w:rFonts w:hint="eastAsia" w:ascii="宋体" w:hAnsi="宋体" w:cs="宋体"/>
                <w:b w:val="0"/>
                <w:bCs w:val="0"/>
                <w:color w:val="auto"/>
                <w:kern w:val="0"/>
                <w:sz w:val="24"/>
                <w:u w:val="none"/>
              </w:rPr>
              <w:t>违反本条例</w:t>
            </w:r>
            <w:r>
              <w:rPr>
                <w:rFonts w:hint="eastAsia" w:ascii="宋体" w:hAnsi="宋体" w:cs="宋体"/>
                <w:kern w:val="0"/>
                <w:sz w:val="24"/>
                <w:u w:val="none"/>
              </w:rPr>
              <w:t>第八条第二款规定，采矿权人未达到方案确定的开采回采率、采矿贫化率、选矿回收率、矿山水循环利用率和土地复垦率等指标的</w:t>
            </w:r>
            <w:r>
              <w:rPr>
                <w:rFonts w:hint="eastAsia" w:ascii="宋体" w:hAnsi="宋体" w:cs="宋体"/>
                <w:color w:val="000000"/>
                <w:kern w:val="0"/>
                <w:sz w:val="24"/>
                <w:u w:val="none"/>
              </w:rPr>
              <w:t>，</w:t>
            </w:r>
            <w:r>
              <w:rPr>
                <w:rFonts w:hint="eastAsia" w:ascii="宋体" w:hAnsi="宋体" w:cs="宋体"/>
                <w:color w:val="000000"/>
                <w:kern w:val="0"/>
                <w:sz w:val="24"/>
              </w:rPr>
              <w:t>由市、旗区人民政府自然资源主管部门责令限期改正，</w:t>
            </w:r>
            <w:r>
              <w:rPr>
                <w:rFonts w:hint="eastAsia" w:ascii="宋体" w:hAnsi="宋体" w:cs="宋体"/>
                <w:color w:val="FF0000"/>
                <w:kern w:val="0"/>
                <w:sz w:val="24"/>
              </w:rPr>
              <w:t>处10万元以上50万元以下的罚款；</w:t>
            </w:r>
            <w:r>
              <w:rPr>
                <w:rFonts w:hint="eastAsia" w:ascii="宋体" w:hAnsi="宋体" w:cs="宋体"/>
                <w:color w:val="000000"/>
                <w:kern w:val="0"/>
                <w:sz w:val="24"/>
              </w:rPr>
              <w:t>逾期不改正的，由采矿许可证颁发机关依法吊销采矿许可证。</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352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cs="宋体"/>
                <w:color w:val="000000"/>
                <w:sz w:val="24"/>
              </w:rPr>
            </w:pPr>
            <w:r>
              <w:rPr>
                <w:rFonts w:hint="eastAsia" w:ascii="宋体" w:hAnsi="宋体" w:cs="宋体"/>
                <w:color w:val="000000"/>
                <w:sz w:val="24"/>
              </w:rPr>
              <w:t>《矿产资源法》第六十八条  违反本法规定，有下列情形之一，造成矿产资源破坏，由县级以上人民政府自然资源主管部门责令改正，处十万元以上五十万元以下罚款</w:t>
            </w:r>
            <w:r>
              <w:rPr>
                <w:rFonts w:hint="eastAsia" w:ascii="宋体" w:hAnsi="宋体" w:cs="宋体"/>
                <w:color w:val="000000"/>
                <w:sz w:val="24"/>
                <w:lang w:eastAsia="zh-CN"/>
              </w:rPr>
              <w:t>；</w:t>
            </w:r>
            <w:r>
              <w:rPr>
                <w:rFonts w:hint="eastAsia" w:ascii="宋体" w:hAnsi="宋体" w:cs="宋体"/>
                <w:color w:val="000000"/>
                <w:sz w:val="24"/>
                <w:lang w:val="en-US" w:eastAsia="zh-CN"/>
              </w:rPr>
              <w:t>拒不改正的，可以责令停业整顿；情节严重的，原矿业权出让部门可以吊销其勘查许可证、采矿许可证：</w:t>
            </w:r>
          </w:p>
          <w:p w14:paraId="626ECF7F">
            <w:pPr>
              <w:widowControl/>
              <w:spacing w:line="360" w:lineRule="exact"/>
              <w:jc w:val="left"/>
              <w:rPr>
                <w:rFonts w:ascii="宋体" w:hAnsi="宋体" w:cs="宋体"/>
                <w:color w:val="000000"/>
                <w:sz w:val="24"/>
              </w:rPr>
            </w:pPr>
            <w:r>
              <w:rPr>
                <w:rFonts w:hint="eastAsia" w:ascii="宋体" w:hAnsi="宋体" w:cs="宋体"/>
                <w:color w:val="000000"/>
                <w:sz w:val="24"/>
              </w:rPr>
              <w:t>（三）矿产资源开采回采率、选矿回收率和综合利用率未达到有关国家标准的要求。</w:t>
            </w:r>
          </w:p>
        </w:tc>
      </w:tr>
      <w:tr w14:paraId="60E65915">
        <w:tblPrEx>
          <w:tblCellMar>
            <w:top w:w="0" w:type="dxa"/>
            <w:left w:w="108" w:type="dxa"/>
            <w:bottom w:w="0" w:type="dxa"/>
            <w:right w:w="108" w:type="dxa"/>
          </w:tblCellMar>
        </w:tblPrEx>
        <w:trPr>
          <w:trHeight w:val="220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0761">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第四十七条</w:t>
            </w:r>
            <w:r>
              <w:rPr>
                <w:rFonts w:hint="eastAsia" w:ascii="宋体" w:hAnsi="宋体" w:cs="宋体"/>
                <w:color w:val="000000"/>
                <w:kern w:val="0"/>
                <w:sz w:val="24"/>
              </w:rPr>
              <w:t>　违反本条例第二十一条第三项规定，采矿权人在土建施工过程中未采取水土保持临时防护措施的，由市、旗区人民政府水行政主管部门责令限期改正，逾期不改正的，处3万元以上30万元以下的罚款。</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A513">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EFDC">
            <w:pPr>
              <w:widowControl/>
              <w:spacing w:line="360" w:lineRule="exact"/>
              <w:jc w:val="left"/>
              <w:rPr>
                <w:rFonts w:ascii="宋体" w:hAnsi="宋体" w:cs="宋体"/>
                <w:color w:val="000000"/>
                <w:sz w:val="24"/>
              </w:rPr>
            </w:pPr>
          </w:p>
        </w:tc>
      </w:tr>
      <w:tr w14:paraId="4F5750E7">
        <w:tblPrEx>
          <w:tblCellMar>
            <w:top w:w="0" w:type="dxa"/>
            <w:left w:w="108" w:type="dxa"/>
            <w:bottom w:w="0" w:type="dxa"/>
            <w:right w:w="108" w:type="dxa"/>
          </w:tblCellMar>
        </w:tblPrEx>
        <w:trPr>
          <w:trHeight w:val="189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BFE1">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第四十八条</w:t>
            </w:r>
            <w:r>
              <w:rPr>
                <w:rFonts w:hint="eastAsia" w:ascii="宋体" w:hAnsi="宋体" w:cs="宋体"/>
                <w:color w:val="000000"/>
                <w:kern w:val="0"/>
                <w:sz w:val="24"/>
              </w:rPr>
              <w:t>　</w:t>
            </w:r>
            <w:r>
              <w:rPr>
                <w:rFonts w:hint="eastAsia" w:ascii="宋体" w:hAnsi="宋体" w:cs="宋体"/>
                <w:strike/>
                <w:dstrike w:val="0"/>
                <w:color w:val="000000"/>
                <w:kern w:val="0"/>
                <w:sz w:val="24"/>
              </w:rPr>
              <w:t>违反本条例第二十二条，在矿山闭坑前或者闭坑后未完成生态修复的，由旗区以上自然资源主管部门责令限期修复，处50万元以上200万元以下的罚款；逾期仍未修复的，由自然资源主管部门依法确定有修复能力的单位代为修复，所需费用由违法者承担，并可以提起生态损害赔偿诉讼。</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E734">
            <w:pPr>
              <w:widowControl/>
              <w:spacing w:line="360" w:lineRule="exact"/>
              <w:jc w:val="left"/>
              <w:rPr>
                <w:rFonts w:ascii="宋体" w:hAnsi="宋体" w:cs="宋体"/>
                <w:color w:val="00B050"/>
                <w:sz w:val="24"/>
              </w:rPr>
            </w:pPr>
            <w:r>
              <w:rPr>
                <w:rFonts w:hint="eastAsia" w:ascii="宋体" w:hAnsi="宋体" w:cs="宋体"/>
                <w:color w:val="FF0000"/>
                <w:sz w:val="24"/>
              </w:rPr>
              <w:t>矿产资源法已对不履行生态修复义务明确了处罚规定，包括了矿山闭坑生态修复的处罚，建议执行矿产资源法，删除本条规定。</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0A78">
            <w:pPr>
              <w:widowControl/>
              <w:spacing w:line="360" w:lineRule="exact"/>
              <w:jc w:val="left"/>
              <w:rPr>
                <w:rFonts w:ascii="宋体" w:hAnsi="宋体" w:cs="宋体"/>
                <w:color w:val="000000"/>
                <w:sz w:val="24"/>
              </w:rPr>
            </w:pPr>
            <w:r>
              <w:rPr>
                <w:rFonts w:hint="eastAsia" w:ascii="宋体" w:hAnsi="宋体" w:cs="宋体"/>
                <w:color w:val="000000"/>
                <w:sz w:val="24"/>
              </w:rPr>
              <w:t>《矿产资源法》第七十一条　违反本法规定，采矿权人不履行矿区生态修复义务或者未按照经批准的矿区生态修复方案进行矿区生态修复的，由县级以上人民政府自然资源主管部门责令改正，可以处矿区生态修复所需费用二倍以下罚款；拒不改正的，处矿区生态修复所需费用二倍以上五倍以下罚款，由县级以上人民政府自然资源主管部门确定有关单位代为修复，所需费用由采矿权人承担。</w:t>
            </w:r>
          </w:p>
        </w:tc>
      </w:tr>
      <w:tr w14:paraId="51A1A7FE">
        <w:tblPrEx>
          <w:tblCellMar>
            <w:top w:w="0" w:type="dxa"/>
            <w:left w:w="108" w:type="dxa"/>
            <w:bottom w:w="0" w:type="dxa"/>
            <w:right w:w="108" w:type="dxa"/>
          </w:tblCellMar>
        </w:tblPrEx>
        <w:trPr>
          <w:trHeight w:val="1890"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93B71">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第四十九条</w:t>
            </w:r>
            <w:r>
              <w:rPr>
                <w:rFonts w:hint="eastAsia" w:ascii="宋体" w:hAnsi="宋体" w:cs="宋体"/>
                <w:color w:val="000000"/>
                <w:kern w:val="0"/>
                <w:sz w:val="24"/>
              </w:rPr>
              <w:t>　违反本条例第二十四条规定，未将</w:t>
            </w:r>
            <w:r>
              <w:rPr>
                <w:rFonts w:hint="eastAsia" w:ascii="宋体" w:hAnsi="宋体" w:cs="宋体"/>
                <w:kern w:val="0"/>
                <w:sz w:val="24"/>
                <w:u w:val="single"/>
              </w:rPr>
              <w:t>矿山地质环境保护和土地复垦</w:t>
            </w:r>
            <w:r>
              <w:rPr>
                <w:rFonts w:hint="eastAsia" w:ascii="宋体" w:hAnsi="宋体" w:cs="宋体"/>
                <w:kern w:val="0"/>
                <w:sz w:val="24"/>
                <w:u w:val="none"/>
              </w:rPr>
              <w:t>方案</w:t>
            </w:r>
            <w:r>
              <w:rPr>
                <w:rFonts w:hint="eastAsia" w:ascii="宋体" w:hAnsi="宋体" w:cs="宋体"/>
                <w:color w:val="000000"/>
                <w:kern w:val="0"/>
                <w:sz w:val="24"/>
              </w:rPr>
              <w:t>、土地复垦规划设计报所在地旗区人民政府自然资源主管部门备案的，由市、旗区人民政府自然资源主管部门责令限期改正；逾期不改正的，处2万元以上5万元以下的罚款。</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F3946">
            <w:pPr>
              <w:widowControl/>
              <w:spacing w:line="360" w:lineRule="exact"/>
              <w:ind w:firstLine="480" w:firstLineChars="200"/>
              <w:jc w:val="left"/>
              <w:rPr>
                <w:rFonts w:ascii="宋体" w:hAnsi="宋体" w:cs="宋体"/>
                <w:color w:val="00B050"/>
                <w:sz w:val="24"/>
              </w:rPr>
            </w:pPr>
            <w:r>
              <w:rPr>
                <w:rFonts w:ascii="黑体" w:hAnsi="宋体" w:eastAsia="黑体" w:cs="黑体"/>
                <w:color w:val="000000"/>
                <w:kern w:val="0"/>
                <w:sz w:val="24"/>
              </w:rPr>
              <w:t>第四十九条</w:t>
            </w:r>
            <w:r>
              <w:rPr>
                <w:rFonts w:hint="eastAsia" w:ascii="宋体" w:hAnsi="宋体" w:cs="宋体"/>
                <w:color w:val="000000"/>
                <w:kern w:val="0"/>
                <w:sz w:val="24"/>
              </w:rPr>
              <w:t>　违反本条例第二十四条规定，未将</w:t>
            </w:r>
            <w:r>
              <w:rPr>
                <w:rFonts w:hint="eastAsia" w:ascii="宋体" w:hAnsi="宋体" w:cs="宋体"/>
                <w:color w:val="FF0000"/>
                <w:kern w:val="0"/>
                <w:sz w:val="24"/>
              </w:rPr>
              <w:t>矿区生态修复</w:t>
            </w:r>
            <w:r>
              <w:rPr>
                <w:rFonts w:hint="eastAsia" w:ascii="宋体" w:hAnsi="宋体" w:cs="宋体"/>
                <w:kern w:val="0"/>
                <w:sz w:val="24"/>
                <w:u w:val="none"/>
              </w:rPr>
              <w:t>方案</w:t>
            </w:r>
            <w:r>
              <w:rPr>
                <w:rFonts w:hint="eastAsia" w:ascii="宋体" w:hAnsi="宋体" w:cs="宋体"/>
                <w:color w:val="000000"/>
                <w:kern w:val="0"/>
                <w:sz w:val="24"/>
              </w:rPr>
              <w:t>、土地复垦规划设计报所在地旗区人民政府自然资源主管部门备案的，由市、旗区人民政府自然资源主管部门责令限期改正；逾期不改正的，处2万元以上5万元以下的罚款。</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2B16A">
            <w:pPr>
              <w:widowControl/>
              <w:spacing w:line="360" w:lineRule="exact"/>
              <w:jc w:val="left"/>
              <w:rPr>
                <w:rFonts w:ascii="宋体" w:hAnsi="宋体" w:cs="宋体"/>
                <w:color w:val="000000"/>
                <w:sz w:val="24"/>
              </w:rPr>
            </w:pPr>
            <w:r>
              <w:rPr>
                <w:rFonts w:hint="eastAsia" w:ascii="宋体" w:hAnsi="宋体" w:cs="宋体"/>
                <w:color w:val="000000"/>
                <w:sz w:val="24"/>
              </w:rPr>
              <w:t>《矿产资源法》第四十六条 开采矿产资源前，采矿权人应当依照法律、法规和国务院自然资源主管部门的规定以及矿业权出让合同编制矿区生态修复方案，随开采方案报原矿权出让部门批准。</w:t>
            </w:r>
          </w:p>
        </w:tc>
      </w:tr>
      <w:tr w14:paraId="0B2E74B3">
        <w:tblPrEx>
          <w:tblCellMar>
            <w:top w:w="0" w:type="dxa"/>
            <w:left w:w="108" w:type="dxa"/>
            <w:bottom w:w="0" w:type="dxa"/>
            <w:right w:w="108" w:type="dxa"/>
          </w:tblCellMar>
        </w:tblPrEx>
        <w:trPr>
          <w:trHeight w:val="157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E65D">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第五十条</w:t>
            </w:r>
            <w:r>
              <w:rPr>
                <w:rFonts w:hint="eastAsia" w:ascii="宋体" w:hAnsi="宋体" w:cs="宋体"/>
                <w:color w:val="000000"/>
                <w:kern w:val="0"/>
                <w:sz w:val="24"/>
              </w:rPr>
              <w:t>　违反本条例第二十五条第一项规定，采矿权人未按照规定对占用或者挖掘区域进行表层土剥离的，由市、旗区人民政府自然资源主管部门责令限期改正；逾期不改正的，按照应当进行表土剥离的土地面积处每公顷1万元的罚款。</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A3CD">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49AAA">
            <w:pPr>
              <w:widowControl/>
              <w:spacing w:line="360" w:lineRule="exact"/>
              <w:jc w:val="left"/>
              <w:rPr>
                <w:rFonts w:ascii="宋体" w:hAnsi="宋体" w:cs="宋体"/>
                <w:color w:val="000000"/>
                <w:sz w:val="24"/>
              </w:rPr>
            </w:pPr>
          </w:p>
        </w:tc>
      </w:tr>
      <w:tr w14:paraId="492203EC">
        <w:tblPrEx>
          <w:tblCellMar>
            <w:top w:w="0" w:type="dxa"/>
            <w:left w:w="108" w:type="dxa"/>
            <w:bottom w:w="0" w:type="dxa"/>
            <w:right w:w="108" w:type="dxa"/>
          </w:tblCellMar>
        </w:tblPrEx>
        <w:trPr>
          <w:trHeight w:val="157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0EE8">
            <w:pPr>
              <w:widowControl/>
              <w:spacing w:line="360" w:lineRule="exact"/>
              <w:jc w:val="left"/>
              <w:textAlignment w:val="top"/>
              <w:rPr>
                <w:rFonts w:ascii="宋体" w:hAnsi="宋体" w:cs="宋体"/>
                <w:color w:val="000000"/>
                <w:sz w:val="24"/>
              </w:rPr>
            </w:pPr>
            <w:r>
              <w:rPr>
                <w:rFonts w:hint="eastAsia" w:ascii="宋体" w:hAnsi="宋体" w:cs="宋体"/>
                <w:color w:val="000000"/>
                <w:kern w:val="0"/>
                <w:sz w:val="24"/>
              </w:rPr>
              <w:t xml:space="preserve">   </w:t>
            </w:r>
            <w:r>
              <w:rPr>
                <w:rFonts w:ascii="黑体" w:hAnsi="宋体" w:eastAsia="黑体" w:cs="黑体"/>
                <w:color w:val="000000"/>
                <w:kern w:val="0"/>
                <w:sz w:val="24"/>
              </w:rPr>
              <w:t xml:space="preserve"> 第五十一条</w:t>
            </w:r>
            <w:r>
              <w:rPr>
                <w:rFonts w:hint="eastAsia" w:ascii="宋体" w:hAnsi="宋体" w:cs="宋体"/>
                <w:color w:val="000000"/>
                <w:kern w:val="0"/>
                <w:sz w:val="24"/>
              </w:rPr>
              <w:t>　违反本条例第三十九条规定，未按照规定计提</w:t>
            </w:r>
            <w:r>
              <w:rPr>
                <w:rFonts w:hint="eastAsia" w:ascii="宋体" w:hAnsi="宋体" w:cs="宋体"/>
                <w:kern w:val="0"/>
                <w:sz w:val="24"/>
                <w:u w:val="single"/>
              </w:rPr>
              <w:t>矿山地质环境治理恢复</w:t>
            </w:r>
            <w:r>
              <w:rPr>
                <w:rFonts w:hint="eastAsia" w:ascii="宋体" w:hAnsi="宋体" w:cs="宋体"/>
                <w:kern w:val="0"/>
                <w:sz w:val="24"/>
                <w:u w:val="none"/>
              </w:rPr>
              <w:t>基金</w:t>
            </w:r>
            <w:r>
              <w:rPr>
                <w:rFonts w:hint="eastAsia" w:ascii="宋体" w:hAnsi="宋体" w:cs="宋体"/>
                <w:color w:val="000000"/>
                <w:kern w:val="0"/>
                <w:sz w:val="24"/>
              </w:rPr>
              <w:t>的，由市、旗区人民政府自然资源主管部门责令限期计提；逾期不计提的，处1万元以上3万元以下的罚款。</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C22BE">
            <w:pPr>
              <w:widowControl/>
              <w:spacing w:line="360" w:lineRule="exact"/>
              <w:ind w:firstLine="480" w:firstLineChars="200"/>
              <w:jc w:val="left"/>
              <w:rPr>
                <w:rFonts w:ascii="宋体" w:hAnsi="宋体" w:cs="宋体"/>
                <w:color w:val="000000"/>
                <w:sz w:val="24"/>
              </w:rPr>
            </w:pPr>
            <w:r>
              <w:rPr>
                <w:rFonts w:ascii="黑体" w:hAnsi="宋体" w:eastAsia="黑体" w:cs="黑体"/>
                <w:color w:val="000000"/>
                <w:kern w:val="0"/>
                <w:sz w:val="24"/>
              </w:rPr>
              <w:t>第五十一条</w:t>
            </w:r>
            <w:r>
              <w:rPr>
                <w:rFonts w:hint="eastAsia" w:ascii="宋体" w:hAnsi="宋体" w:cs="宋体"/>
                <w:color w:val="000000"/>
                <w:kern w:val="0"/>
                <w:sz w:val="24"/>
              </w:rPr>
              <w:t>　违反本条例第三十九条规定，未按照规定计提</w:t>
            </w:r>
            <w:r>
              <w:rPr>
                <w:rFonts w:hint="eastAsia" w:ascii="宋体" w:hAnsi="宋体" w:cs="宋体"/>
                <w:color w:val="FF0000"/>
                <w:kern w:val="0"/>
                <w:sz w:val="24"/>
              </w:rPr>
              <w:t>矿区生态修复</w:t>
            </w:r>
            <w:r>
              <w:rPr>
                <w:rFonts w:hint="eastAsia" w:ascii="宋体" w:hAnsi="宋体" w:cs="宋体"/>
                <w:kern w:val="0"/>
                <w:sz w:val="24"/>
                <w:u w:val="none"/>
              </w:rPr>
              <w:t>基金</w:t>
            </w:r>
            <w:r>
              <w:rPr>
                <w:rFonts w:hint="eastAsia" w:ascii="宋体" w:hAnsi="宋体" w:cs="宋体"/>
                <w:color w:val="000000"/>
                <w:kern w:val="0"/>
                <w:sz w:val="24"/>
              </w:rPr>
              <w:t>的，由市、旗区人民政府自然资源主管部门责令限期计提；逾期不计提的，处1万元以上3万元以下的罚款。</w:t>
            </w: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058EB">
            <w:pPr>
              <w:widowControl/>
              <w:spacing w:line="360" w:lineRule="exact"/>
              <w:jc w:val="left"/>
              <w:rPr>
                <w:rFonts w:ascii="宋体" w:hAnsi="宋体" w:cs="宋体"/>
                <w:color w:val="000000"/>
                <w:sz w:val="24"/>
              </w:rPr>
            </w:pPr>
            <w:r>
              <w:rPr>
                <w:rFonts w:hint="eastAsia" w:ascii="宋体" w:hAnsi="宋体" w:cs="宋体"/>
                <w:color w:val="000000"/>
                <w:sz w:val="24"/>
              </w:rPr>
              <w:t>第四十九条 采矿权人应当按照规定提取矿区生态修复费用，专门用于矿区生态修复。</w:t>
            </w:r>
          </w:p>
        </w:tc>
      </w:tr>
      <w:tr w14:paraId="0F8B8791">
        <w:tblPrEx>
          <w:tblCellMar>
            <w:top w:w="0" w:type="dxa"/>
            <w:left w:w="108" w:type="dxa"/>
            <w:bottom w:w="0" w:type="dxa"/>
            <w:right w:w="108" w:type="dxa"/>
          </w:tblCellMar>
        </w:tblPrEx>
        <w:trPr>
          <w:trHeight w:val="31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396D">
            <w:pPr>
              <w:widowControl/>
              <w:spacing w:line="360" w:lineRule="exact"/>
              <w:jc w:val="left"/>
              <w:textAlignment w:val="center"/>
              <w:rPr>
                <w:rFonts w:ascii="黑体" w:hAnsi="宋体" w:eastAsia="黑体" w:cs="黑体"/>
                <w:color w:val="000000"/>
                <w:sz w:val="24"/>
              </w:rPr>
            </w:pPr>
            <w:r>
              <w:rPr>
                <w:rFonts w:ascii="黑体" w:hAnsi="宋体" w:eastAsia="黑体" w:cs="黑体"/>
                <w:color w:val="000000"/>
                <w:kern w:val="0"/>
                <w:sz w:val="24"/>
              </w:rPr>
              <w:t xml:space="preserve"> </w:t>
            </w:r>
            <w:r>
              <w:rPr>
                <w:rFonts w:hint="eastAsia" w:ascii="黑体" w:hAnsi="宋体" w:eastAsia="黑体" w:cs="黑体"/>
                <w:color w:val="000000"/>
                <w:kern w:val="0"/>
                <w:sz w:val="24"/>
              </w:rPr>
              <w:t xml:space="preserve">   </w:t>
            </w:r>
            <w:r>
              <w:rPr>
                <w:rFonts w:ascii="黑体" w:hAnsi="宋体" w:eastAsia="黑体" w:cs="黑体"/>
                <w:color w:val="000000"/>
                <w:kern w:val="0"/>
                <w:sz w:val="24"/>
              </w:rPr>
              <w:t>第五十</w:t>
            </w:r>
            <w:r>
              <w:rPr>
                <w:rFonts w:hint="eastAsia" w:ascii="黑体" w:hAnsi="宋体" w:eastAsia="黑体" w:cs="黑体"/>
                <w:color w:val="000000"/>
                <w:kern w:val="0"/>
                <w:sz w:val="24"/>
              </w:rPr>
              <w:t>二</w:t>
            </w:r>
            <w:r>
              <w:rPr>
                <w:rFonts w:ascii="黑体" w:hAnsi="宋体" w:eastAsia="黑体" w:cs="黑体"/>
                <w:color w:val="000000"/>
                <w:kern w:val="0"/>
                <w:sz w:val="24"/>
              </w:rPr>
              <w:t>条</w:t>
            </w:r>
            <w:r>
              <w:rPr>
                <w:rFonts w:hint="eastAsia" w:ascii="黑体" w:hAnsi="宋体" w:eastAsia="黑体" w:cs="黑体"/>
                <w:color w:val="000000"/>
                <w:kern w:val="0"/>
                <w:sz w:val="24"/>
              </w:rPr>
              <w:t xml:space="preserve">  </w:t>
            </w:r>
            <w:r>
              <w:rPr>
                <w:rFonts w:hint="eastAsia" w:ascii="宋体" w:hAnsi="宋体" w:cs="宋体"/>
                <w:color w:val="000000"/>
                <w:kern w:val="0"/>
                <w:sz w:val="24"/>
              </w:rPr>
              <w:t>市、旗区人民政府以及其他负有绿色矿山建设管理职责的相关部门工作人员在绿色矿山的建设与管理中玩忽职守、滥用职权、徇私舞弊的，对相关责任人依法给予处分；构成犯罪的，依法追究刑事责任。</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6108">
            <w:pPr>
              <w:widowControl/>
              <w:spacing w:line="360" w:lineRule="exact"/>
              <w:jc w:val="center"/>
              <w:rPr>
                <w:rFonts w:ascii="黑体" w:hAnsi="宋体" w:eastAsia="黑体" w:cs="黑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E0AB1">
            <w:pPr>
              <w:widowControl/>
              <w:spacing w:line="360" w:lineRule="exact"/>
              <w:jc w:val="center"/>
              <w:rPr>
                <w:rFonts w:ascii="黑体" w:hAnsi="宋体" w:eastAsia="黑体" w:cs="黑体"/>
                <w:color w:val="000000"/>
                <w:sz w:val="24"/>
              </w:rPr>
            </w:pPr>
          </w:p>
        </w:tc>
      </w:tr>
      <w:tr w14:paraId="4E73FB53">
        <w:tblPrEx>
          <w:tblCellMar>
            <w:top w:w="0" w:type="dxa"/>
            <w:left w:w="108" w:type="dxa"/>
            <w:bottom w:w="0" w:type="dxa"/>
            <w:right w:w="108" w:type="dxa"/>
          </w:tblCellMar>
        </w:tblPrEx>
        <w:trPr>
          <w:trHeight w:val="31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9B6E">
            <w:pPr>
              <w:widowControl/>
              <w:spacing w:line="360" w:lineRule="exact"/>
              <w:jc w:val="center"/>
              <w:textAlignment w:val="top"/>
              <w:rPr>
                <w:rFonts w:ascii="宋体" w:hAnsi="宋体" w:cs="宋体"/>
                <w:color w:val="000000"/>
                <w:sz w:val="24"/>
              </w:rPr>
            </w:pPr>
            <w:r>
              <w:rPr>
                <w:rFonts w:ascii="黑体" w:hAnsi="宋体" w:eastAsia="黑体" w:cs="黑体"/>
                <w:color w:val="000000"/>
                <w:kern w:val="0"/>
                <w:sz w:val="24"/>
              </w:rPr>
              <w:t>第五章　附　则</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4039">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388FB">
            <w:pPr>
              <w:widowControl/>
              <w:spacing w:line="360" w:lineRule="exact"/>
              <w:jc w:val="left"/>
              <w:rPr>
                <w:rFonts w:ascii="宋体" w:hAnsi="宋体" w:cs="宋体"/>
                <w:color w:val="000000"/>
                <w:sz w:val="24"/>
              </w:rPr>
            </w:pPr>
          </w:p>
        </w:tc>
      </w:tr>
      <w:tr w14:paraId="502F9A07">
        <w:tblPrEx>
          <w:tblCellMar>
            <w:top w:w="0" w:type="dxa"/>
            <w:left w:w="108" w:type="dxa"/>
            <w:bottom w:w="0" w:type="dxa"/>
            <w:right w:w="108" w:type="dxa"/>
          </w:tblCellMar>
        </w:tblPrEx>
        <w:trPr>
          <w:trHeight w:val="315" w:hRule="atLeast"/>
        </w:trPr>
        <w:tc>
          <w:tcPr>
            <w:tcW w:w="4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6C41">
            <w:pPr>
              <w:widowControl/>
              <w:spacing w:line="360" w:lineRule="exact"/>
              <w:jc w:val="left"/>
              <w:textAlignment w:val="top"/>
              <w:rPr>
                <w:rFonts w:ascii="宋体" w:hAnsi="宋体" w:cs="宋体"/>
                <w:color w:val="000000"/>
                <w:kern w:val="0"/>
                <w:sz w:val="24"/>
              </w:rPr>
            </w:pPr>
            <w:r>
              <w:rPr>
                <w:rFonts w:hint="eastAsia" w:ascii="宋体" w:hAnsi="宋体" w:cs="宋体"/>
                <w:color w:val="000000"/>
                <w:kern w:val="0"/>
                <w:sz w:val="24"/>
              </w:rPr>
              <w:t xml:space="preserve">    </w:t>
            </w:r>
            <w:r>
              <w:rPr>
                <w:rFonts w:ascii="黑体" w:hAnsi="宋体" w:eastAsia="黑体" w:cs="黑体"/>
                <w:color w:val="000000"/>
                <w:kern w:val="0"/>
                <w:sz w:val="24"/>
              </w:rPr>
              <w:t>第五十</w:t>
            </w:r>
            <w:r>
              <w:rPr>
                <w:rFonts w:hint="eastAsia" w:ascii="黑体" w:hAnsi="宋体" w:eastAsia="黑体" w:cs="黑体"/>
                <w:color w:val="000000"/>
                <w:kern w:val="0"/>
                <w:sz w:val="24"/>
                <w:lang w:val="en-US" w:eastAsia="zh-CN"/>
              </w:rPr>
              <w:t>三</w:t>
            </w:r>
            <w:r>
              <w:rPr>
                <w:rFonts w:ascii="黑体" w:hAnsi="宋体" w:eastAsia="黑体" w:cs="黑体"/>
                <w:color w:val="000000"/>
                <w:kern w:val="0"/>
                <w:sz w:val="24"/>
              </w:rPr>
              <w:t>条</w:t>
            </w:r>
            <w:r>
              <w:rPr>
                <w:rFonts w:hint="eastAsia" w:ascii="宋体" w:hAnsi="宋体" w:cs="宋体"/>
                <w:color w:val="000000"/>
                <w:kern w:val="0"/>
                <w:sz w:val="24"/>
              </w:rPr>
              <w:t>　本条例自2020年10月1日起施行。</w:t>
            </w:r>
          </w:p>
        </w:tc>
        <w:tc>
          <w:tcPr>
            <w:tcW w:w="4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E9DAF">
            <w:pPr>
              <w:widowControl/>
              <w:spacing w:line="360" w:lineRule="exact"/>
              <w:jc w:val="left"/>
              <w:rPr>
                <w:rFonts w:ascii="宋体" w:hAnsi="宋体" w:cs="宋体"/>
                <w:color w:val="000000"/>
                <w:sz w:val="24"/>
              </w:rPr>
            </w:pPr>
          </w:p>
        </w:tc>
        <w:tc>
          <w:tcPr>
            <w:tcW w:w="4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11DA">
            <w:pPr>
              <w:widowControl/>
              <w:spacing w:line="360" w:lineRule="exact"/>
              <w:jc w:val="left"/>
              <w:rPr>
                <w:rFonts w:ascii="宋体" w:hAnsi="宋体" w:cs="宋体"/>
                <w:color w:val="000000"/>
                <w:sz w:val="24"/>
              </w:rPr>
            </w:pPr>
          </w:p>
        </w:tc>
      </w:tr>
    </w:tbl>
    <w:p w14:paraId="65FB4C9E">
      <w:pPr>
        <w:pStyle w:val="2"/>
        <w:ind w:firstLine="0" w:firstLineChars="0"/>
        <w:rPr>
          <w:rFonts w:ascii="仿宋_GB2312" w:hAnsi="仿宋_GB2312" w:eastAsia="仿宋_GB2312" w:cs="仿宋_GB2312"/>
          <w:szCs w:val="32"/>
        </w:rPr>
      </w:pPr>
      <w:r>
        <w:rPr>
          <w:rFonts w:hint="eastAsia" w:ascii="宋体" w:hAnsi="宋体" w:cs="宋体"/>
          <w:color w:val="000000"/>
          <w:kern w:val="0"/>
          <w:sz w:val="24"/>
        </w:rPr>
        <w:t>本条例首次于2020年10月1日实施,2024年8月9日又进一步修改印发。</w:t>
      </w:r>
    </w:p>
    <w:p w14:paraId="0496394A"/>
    <w:sectPr>
      <w:pgSz w:w="16838" w:h="11906" w:orient="landscape"/>
      <w:pgMar w:top="1134"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0Y2M5MDJmNTQ4MTUxZWFmNjg1NjBlNGMyNDdjMjIifQ=="/>
  </w:docVars>
  <w:rsids>
    <w:rsidRoot w:val="00835990"/>
    <w:rsid w:val="001F0245"/>
    <w:rsid w:val="0025663D"/>
    <w:rsid w:val="002E7546"/>
    <w:rsid w:val="0030049B"/>
    <w:rsid w:val="00835990"/>
    <w:rsid w:val="00853780"/>
    <w:rsid w:val="009935C6"/>
    <w:rsid w:val="00A87F74"/>
    <w:rsid w:val="00E80370"/>
    <w:rsid w:val="01514167"/>
    <w:rsid w:val="01810306"/>
    <w:rsid w:val="0192652E"/>
    <w:rsid w:val="01E8078B"/>
    <w:rsid w:val="01F64D0F"/>
    <w:rsid w:val="022C3206"/>
    <w:rsid w:val="033C2BF5"/>
    <w:rsid w:val="03A82039"/>
    <w:rsid w:val="03F03A5F"/>
    <w:rsid w:val="04CD7FA9"/>
    <w:rsid w:val="04F73278"/>
    <w:rsid w:val="05D84E57"/>
    <w:rsid w:val="066C0F47"/>
    <w:rsid w:val="067803E8"/>
    <w:rsid w:val="073562D9"/>
    <w:rsid w:val="07C440E8"/>
    <w:rsid w:val="08E91129"/>
    <w:rsid w:val="09134856"/>
    <w:rsid w:val="093E79DC"/>
    <w:rsid w:val="0A4E0284"/>
    <w:rsid w:val="0A747118"/>
    <w:rsid w:val="0AE778EA"/>
    <w:rsid w:val="0B881052"/>
    <w:rsid w:val="0CFF716D"/>
    <w:rsid w:val="0E0D1416"/>
    <w:rsid w:val="0FCD558A"/>
    <w:rsid w:val="0FE4264A"/>
    <w:rsid w:val="10D70F6C"/>
    <w:rsid w:val="10FD1C16"/>
    <w:rsid w:val="114809B7"/>
    <w:rsid w:val="11A830C4"/>
    <w:rsid w:val="12B909CF"/>
    <w:rsid w:val="1332191F"/>
    <w:rsid w:val="13AE5449"/>
    <w:rsid w:val="13CC2239"/>
    <w:rsid w:val="13D559BC"/>
    <w:rsid w:val="140D7B7E"/>
    <w:rsid w:val="1455067A"/>
    <w:rsid w:val="146C604B"/>
    <w:rsid w:val="14992CE9"/>
    <w:rsid w:val="14FD1DCC"/>
    <w:rsid w:val="150A4645"/>
    <w:rsid w:val="15C701A6"/>
    <w:rsid w:val="163634D4"/>
    <w:rsid w:val="1638549E"/>
    <w:rsid w:val="17163A31"/>
    <w:rsid w:val="18142990"/>
    <w:rsid w:val="18934C0E"/>
    <w:rsid w:val="18AF5EBD"/>
    <w:rsid w:val="18C63235"/>
    <w:rsid w:val="191866EF"/>
    <w:rsid w:val="19257F5C"/>
    <w:rsid w:val="19D84FCE"/>
    <w:rsid w:val="1AD5775F"/>
    <w:rsid w:val="1AF5570C"/>
    <w:rsid w:val="1C362480"/>
    <w:rsid w:val="1EF04B68"/>
    <w:rsid w:val="1F5E781E"/>
    <w:rsid w:val="1FB57B5F"/>
    <w:rsid w:val="2043516B"/>
    <w:rsid w:val="20994D8B"/>
    <w:rsid w:val="21C1245D"/>
    <w:rsid w:val="21EE5194"/>
    <w:rsid w:val="22553DE4"/>
    <w:rsid w:val="22916662"/>
    <w:rsid w:val="22E06CA1"/>
    <w:rsid w:val="230C3F3A"/>
    <w:rsid w:val="23D95832"/>
    <w:rsid w:val="23DA7B95"/>
    <w:rsid w:val="25207829"/>
    <w:rsid w:val="25467141"/>
    <w:rsid w:val="26AC2370"/>
    <w:rsid w:val="27182EAE"/>
    <w:rsid w:val="273E668C"/>
    <w:rsid w:val="280B73AA"/>
    <w:rsid w:val="29673C78"/>
    <w:rsid w:val="29F714A0"/>
    <w:rsid w:val="2A6D1007"/>
    <w:rsid w:val="2B0551C9"/>
    <w:rsid w:val="2C0D0D9F"/>
    <w:rsid w:val="2C365B84"/>
    <w:rsid w:val="2CC55886"/>
    <w:rsid w:val="2CDB01EB"/>
    <w:rsid w:val="2CF75313"/>
    <w:rsid w:val="2D2274D9"/>
    <w:rsid w:val="2D7626DC"/>
    <w:rsid w:val="2E94389C"/>
    <w:rsid w:val="2F230642"/>
    <w:rsid w:val="30093CDB"/>
    <w:rsid w:val="307153DD"/>
    <w:rsid w:val="32364B30"/>
    <w:rsid w:val="33446DD8"/>
    <w:rsid w:val="33C61EE3"/>
    <w:rsid w:val="348C0A37"/>
    <w:rsid w:val="37003BEE"/>
    <w:rsid w:val="37985945"/>
    <w:rsid w:val="38AC78FA"/>
    <w:rsid w:val="38B16067"/>
    <w:rsid w:val="3A0177D1"/>
    <w:rsid w:val="3A064DE8"/>
    <w:rsid w:val="3A7C32FC"/>
    <w:rsid w:val="3ADE7B13"/>
    <w:rsid w:val="3AFF0FEF"/>
    <w:rsid w:val="3B2C087E"/>
    <w:rsid w:val="3B567F33"/>
    <w:rsid w:val="3BA23236"/>
    <w:rsid w:val="3BDF69CD"/>
    <w:rsid w:val="3CD24F34"/>
    <w:rsid w:val="3CD56F84"/>
    <w:rsid w:val="3D202664"/>
    <w:rsid w:val="3DD218F4"/>
    <w:rsid w:val="3DEB4A20"/>
    <w:rsid w:val="3E0755D2"/>
    <w:rsid w:val="3E554590"/>
    <w:rsid w:val="3E6D3687"/>
    <w:rsid w:val="406805AA"/>
    <w:rsid w:val="40BD6D76"/>
    <w:rsid w:val="410A78B3"/>
    <w:rsid w:val="414C7ECC"/>
    <w:rsid w:val="418031B0"/>
    <w:rsid w:val="42927B60"/>
    <w:rsid w:val="432307B8"/>
    <w:rsid w:val="465F41FD"/>
    <w:rsid w:val="47136D96"/>
    <w:rsid w:val="4997570E"/>
    <w:rsid w:val="49AF2F92"/>
    <w:rsid w:val="49CB1BAA"/>
    <w:rsid w:val="4B034EF9"/>
    <w:rsid w:val="4B0E7FA0"/>
    <w:rsid w:val="4B331770"/>
    <w:rsid w:val="4B941C34"/>
    <w:rsid w:val="4CBE54C6"/>
    <w:rsid w:val="4CD243C2"/>
    <w:rsid w:val="4D460513"/>
    <w:rsid w:val="4E3B5550"/>
    <w:rsid w:val="4E9B1BC4"/>
    <w:rsid w:val="4F5D14F6"/>
    <w:rsid w:val="4FCE5F50"/>
    <w:rsid w:val="4FD327FB"/>
    <w:rsid w:val="4FFF49A3"/>
    <w:rsid w:val="5049671C"/>
    <w:rsid w:val="509C604E"/>
    <w:rsid w:val="5184720E"/>
    <w:rsid w:val="52D1226C"/>
    <w:rsid w:val="542C51A1"/>
    <w:rsid w:val="554051FA"/>
    <w:rsid w:val="55621614"/>
    <w:rsid w:val="56EB4101"/>
    <w:rsid w:val="57341025"/>
    <w:rsid w:val="57FE1A51"/>
    <w:rsid w:val="582738B9"/>
    <w:rsid w:val="58496ABB"/>
    <w:rsid w:val="58AE2D0D"/>
    <w:rsid w:val="59011144"/>
    <w:rsid w:val="5979517E"/>
    <w:rsid w:val="59B61F2F"/>
    <w:rsid w:val="5A232785"/>
    <w:rsid w:val="5A7E2052"/>
    <w:rsid w:val="5B341C7F"/>
    <w:rsid w:val="5C3013D7"/>
    <w:rsid w:val="5C6147A2"/>
    <w:rsid w:val="5C6C0FCA"/>
    <w:rsid w:val="5D3F66DF"/>
    <w:rsid w:val="5D6C3989"/>
    <w:rsid w:val="5EF72795"/>
    <w:rsid w:val="5FAF79A7"/>
    <w:rsid w:val="5FB23198"/>
    <w:rsid w:val="60302C77"/>
    <w:rsid w:val="606721D5"/>
    <w:rsid w:val="61453B98"/>
    <w:rsid w:val="61901C5F"/>
    <w:rsid w:val="61BD6574"/>
    <w:rsid w:val="623E0D13"/>
    <w:rsid w:val="63C139AA"/>
    <w:rsid w:val="64915A72"/>
    <w:rsid w:val="665412EB"/>
    <w:rsid w:val="66A97F3B"/>
    <w:rsid w:val="66BE2423"/>
    <w:rsid w:val="66D954AE"/>
    <w:rsid w:val="679F2254"/>
    <w:rsid w:val="67C465A9"/>
    <w:rsid w:val="67C779FD"/>
    <w:rsid w:val="67FD181E"/>
    <w:rsid w:val="680440BB"/>
    <w:rsid w:val="681542C4"/>
    <w:rsid w:val="681B48A2"/>
    <w:rsid w:val="68824896"/>
    <w:rsid w:val="68CA0339"/>
    <w:rsid w:val="69605A13"/>
    <w:rsid w:val="6AD9369C"/>
    <w:rsid w:val="6B647909"/>
    <w:rsid w:val="6C5F47DF"/>
    <w:rsid w:val="6C6770B8"/>
    <w:rsid w:val="6CC30793"/>
    <w:rsid w:val="6CD66050"/>
    <w:rsid w:val="6E201C15"/>
    <w:rsid w:val="6EBE3907"/>
    <w:rsid w:val="6F1057E5"/>
    <w:rsid w:val="6F8561D3"/>
    <w:rsid w:val="6FCA1DC0"/>
    <w:rsid w:val="71874F20"/>
    <w:rsid w:val="724063E2"/>
    <w:rsid w:val="725D3437"/>
    <w:rsid w:val="73070F3B"/>
    <w:rsid w:val="731A1328"/>
    <w:rsid w:val="733261D4"/>
    <w:rsid w:val="738F37EF"/>
    <w:rsid w:val="73EF4563"/>
    <w:rsid w:val="74734C72"/>
    <w:rsid w:val="77204A34"/>
    <w:rsid w:val="77585F7B"/>
    <w:rsid w:val="7773786A"/>
    <w:rsid w:val="77F90242"/>
    <w:rsid w:val="780103C1"/>
    <w:rsid w:val="79B06543"/>
    <w:rsid w:val="79E32474"/>
    <w:rsid w:val="7BDC717B"/>
    <w:rsid w:val="7E244E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NormalIndent"/>
    <w:qFormat/>
    <w:uiPriority w:val="0"/>
    <w:pPr>
      <w:widowControl w:val="0"/>
      <w:ind w:firstLine="420" w:firstLineChars="200"/>
      <w:jc w:val="both"/>
      <w:textAlignment w:val="baseline"/>
    </w:pPr>
    <w:rPr>
      <w:rFonts w:ascii="Times New Roman" w:hAnsi="Times New Roman" w:eastAsia="仿宋" w:cs="Times New Roman"/>
      <w:kern w:val="2"/>
      <w:sz w:val="32"/>
      <w:szCs w:val="24"/>
      <w:lang w:val="en-US" w:eastAsia="zh-CN" w:bidi="ar-SA"/>
    </w:rPr>
  </w:style>
  <w:style w:type="paragraph" w:styleId="3">
    <w:name w:val="Body Text"/>
    <w:basedOn w:val="1"/>
    <w:next w:val="1"/>
    <w:qFormat/>
    <w:uiPriority w:val="0"/>
    <w:pPr>
      <w:spacing w:after="140" w:line="276" w:lineRule="auto"/>
    </w:pPr>
  </w:style>
  <w:style w:type="paragraph" w:styleId="4">
    <w:name w:val="Body Text Indent"/>
    <w:basedOn w:val="1"/>
    <w:next w:val="1"/>
    <w:qFormat/>
    <w:uiPriority w:val="0"/>
    <w:pPr>
      <w:spacing w:after="120"/>
      <w:ind w:left="420" w:leftChars="200"/>
      <w:jc w:val="left"/>
    </w:pPr>
    <w:rPr>
      <w:rFonts w:hint="eastAsia" w:ascii="宋体" w:hAnsi="宋体"/>
      <w:kern w:val="0"/>
      <w:sz w:val="24"/>
    </w:rPr>
  </w:style>
  <w:style w:type="paragraph" w:styleId="5">
    <w:name w:val="Body Text First Indent"/>
    <w:basedOn w:val="3"/>
    <w:next w:val="6"/>
    <w:unhideWhenUsed/>
    <w:qFormat/>
    <w:uiPriority w:val="99"/>
    <w:pPr>
      <w:autoSpaceDE w:val="0"/>
      <w:autoSpaceDN w:val="0"/>
      <w:adjustRightInd w:val="0"/>
      <w:spacing w:before="100" w:beforeAutospacing="1" w:line="220" w:lineRule="atLeast"/>
      <w:ind w:firstLine="420" w:firstLineChars="100"/>
    </w:pPr>
    <w:rPr>
      <w:rFonts w:ascii="Times New Roman" w:hAnsi="Arial"/>
      <w:color w:val="000000"/>
    </w:rPr>
  </w:style>
  <w:style w:type="paragraph" w:styleId="6">
    <w:name w:val="Body Text First Indent 2"/>
    <w:basedOn w:val="4"/>
    <w:next w:val="1"/>
    <w:qFormat/>
    <w:uiPriority w:val="0"/>
    <w:pPr>
      <w:widowControl/>
      <w:ind w:left="0" w:leftChars="100" w:firstLine="420" w:firstLineChars="200"/>
    </w:pPr>
    <w:rPr>
      <w:rFonts w:ascii="Calibri" w:hAnsi="Calibri"/>
    </w:rPr>
  </w:style>
  <w:style w:type="paragraph" w:customStyle="1" w:styleId="9">
    <w:name w:val="div"/>
    <w:basedOn w:val="1"/>
    <w:qFormat/>
    <w:uiPriority w:val="0"/>
    <w:pPr>
      <w:textAlignment w:val="baseline"/>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20</Pages>
  <Words>11895</Words>
  <Characters>11946</Characters>
  <Lines>71</Lines>
  <Paragraphs>20</Paragraphs>
  <TotalTime>1</TotalTime>
  <ScaleCrop>false</ScaleCrop>
  <LinksUpToDate>false</LinksUpToDate>
  <CharactersWithSpaces>12465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2025-04-11T01:53:00Z</dcterms:created>
  <dc:creator>Administrator</dc:creator>
  <cp:lastModifiedBy>啦啦啦啦啦啦</cp:lastModifiedBy>
  <dcterms:modified xsi:type="dcterms:W3CDTF">2025-05-12T01:42:52Z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14FD294248284EA6998D9F8CF31C0ECE_13</vt:lpwstr>
  </property>
  <property fmtid="{D5CDD505-2E9C-101B-9397-08002B2CF9AE}" pid="4" name="KSOTemplateDocerSaveRecord">
    <vt:lpwstr>eyJoZGlkIjoiOTQxNTVkNWI0Y2E2ZWVhYzM0MjFhNjczYjNkMTI4MDgiLCJ1c2VySWQiOiIzMTgxMjIzODAifQ==</vt:lpwstr>
  </property>
</Properties>
</file>