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C19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附件1：</w:t>
      </w:r>
    </w:p>
    <w:p w14:paraId="5E5FD73F">
      <w:pPr>
        <w:pStyle w:val="2"/>
        <w:rPr>
          <w:rFonts w:hint="default"/>
          <w:lang w:val="en-US" w:eastAsia="zh-CN"/>
        </w:rPr>
      </w:pPr>
    </w:p>
    <w:p w14:paraId="565372EE">
      <w:pPr>
        <w:keepNext w:val="0"/>
        <w:keepLines w:val="0"/>
        <w:pageBreakBefore w:val="0"/>
        <w:widowControl w:val="0"/>
        <w:kinsoku/>
        <w:wordWrap/>
        <w:overflowPunct/>
        <w:topLinePunct w:val="0"/>
        <w:autoSpaceDE/>
        <w:autoSpaceDN/>
        <w:bidi w:val="0"/>
        <w:adjustRightInd/>
        <w:snapToGrid/>
        <w:spacing w:line="560" w:lineRule="exact"/>
        <w:ind w:firstLine="1320" w:firstLineChars="300"/>
        <w:jc w:val="both"/>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鄂尔多斯市绿色矿山建设管理条例</w:t>
      </w:r>
    </w:p>
    <w:p w14:paraId="7A43F2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（修订草案征求意见稿）修改说明</w:t>
      </w:r>
    </w:p>
    <w:p w14:paraId="44F082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0628CF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（一）增加一款，作为</w:t>
      </w:r>
      <w:r>
        <w:rPr>
          <w:rFonts w:hint="default" w:ascii="仿宋_GB2312" w:hAnsi="仿宋_GB2312" w:eastAsia="仿宋_GB2312" w:cs="仿宋_GB2312"/>
          <w:sz w:val="32"/>
          <w:szCs w:val="32"/>
          <w:lang w:val="en-US" w:eastAsia="zh-CN"/>
        </w:rPr>
        <w:t>第</w:t>
      </w:r>
      <w:r>
        <w:rPr>
          <w:rFonts w:hint="eastAsia" w:ascii="仿宋_GB2312" w:hAnsi="仿宋_GB2312" w:eastAsia="仿宋_GB2312" w:cs="仿宋_GB2312"/>
          <w:sz w:val="32"/>
          <w:szCs w:val="32"/>
          <w:lang w:val="en-US" w:eastAsia="zh-CN"/>
        </w:rPr>
        <w:t>六</w:t>
      </w:r>
      <w:r>
        <w:rPr>
          <w:rFonts w:hint="default" w:ascii="仿宋_GB2312" w:hAnsi="仿宋_GB2312" w:eastAsia="仿宋_GB2312" w:cs="仿宋_GB2312"/>
          <w:sz w:val="32"/>
          <w:szCs w:val="32"/>
          <w:lang w:val="en-US" w:eastAsia="zh-CN"/>
        </w:rPr>
        <w:t>条</w:t>
      </w:r>
      <w:r>
        <w:rPr>
          <w:rFonts w:hint="eastAsia" w:ascii="仿宋_GB2312" w:hAnsi="仿宋_GB2312" w:eastAsia="仿宋_GB2312" w:cs="仿宋_GB2312"/>
          <w:sz w:val="32"/>
          <w:szCs w:val="32"/>
          <w:lang w:val="en-US" w:eastAsia="zh-CN"/>
        </w:rPr>
        <w:t>第二款“市、旗区人民政府及其相关部门应当完善绿色矿山建设激励政策，积极落实国家和自治区绿色矿山支持政策</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p>
    <w:p w14:paraId="540D3A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（二）将原条例第十七条修改为“采矿权人应当按照谁破坏谁修复、边开采边修复的原则，履行矿区生态修复义务。矿山环保、水土保持、生态修复等工程应当与主体工程同时设计、同时施工、同时管理使用。”</w:t>
      </w:r>
    </w:p>
    <w:p w14:paraId="2AFF82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（三）将原条例第二十二条第一款修改为“采矿权人应当按照国家、自治区规定时间，在矿山闭坑前或者闭坑后的合理期限内及时修复。采矿权人的生态修复义务不因采矿权的消灭而免除。”</w:t>
      </w:r>
    </w:p>
    <w:p w14:paraId="254589A5">
      <w:pPr>
        <w:pStyle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（四）将原条例第三十五条最后一款</w:t>
      </w:r>
      <w:r>
        <w:rPr>
          <w:rFonts w:hint="eastAsia" w:ascii="仿宋_GB2312" w:hAnsi="仿宋_GB2312" w:eastAsia="仿宋_GB2312" w:cs="仿宋_GB2312"/>
          <w:kern w:val="2"/>
          <w:sz w:val="32"/>
          <w:szCs w:val="32"/>
          <w:lang w:val="en-US" w:eastAsia="zh-CN" w:bidi="ar-SA"/>
        </w:rPr>
        <w:t>“采矿权人应当根据市、旗区绿色矿山建设规划，编制本矿山的绿色矿山建设实施方案。”删除。</w:t>
      </w:r>
    </w:p>
    <w:p w14:paraId="43D691D1">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（五）</w:t>
      </w:r>
      <w:r>
        <w:rPr>
          <w:rFonts w:hint="eastAsia" w:ascii="仿宋_GB2312" w:hAnsi="仿宋_GB2312" w:eastAsia="仿宋_GB2312" w:cs="仿宋_GB2312"/>
          <w:sz w:val="32"/>
          <w:szCs w:val="32"/>
          <w:lang w:val="en-US" w:eastAsia="zh-CN"/>
        </w:rPr>
        <w:t>将原条例第三十六条第一项修改为“自然资源主管部门负责矿产资源开发利用方案和矿区生态修复方案等执行情况的监督，依据职责出具绿色矿山审查意见，会同相关部门组织申报、开展评估、核查、抽查等工作。”第五项修改为“财政主管部门配合自然资源主管部门对采矿权人的矿区生态修复基金账户设立、基金计提、支出使用进行监督管理。”</w:t>
      </w:r>
    </w:p>
    <w:p w14:paraId="1794B3D2">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（六）将原条例第三十八条修改为“市、旗区人民政府自然资源主管部门会同有关主管部门组织对绿色矿山申报材料进行初审上报。”</w:t>
      </w:r>
    </w:p>
    <w:p w14:paraId="4A4AC516">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（七）将原条例第四十四条修改为“市、旗区自然资源主管部门联合有关主管部门按照“</w:t>
      </w:r>
      <w:bookmarkStart w:id="0" w:name="_GoBack"/>
      <w:r>
        <w:rPr>
          <w:rFonts w:hint="eastAsia" w:ascii="仿宋_GB2312" w:hAnsi="仿宋_GB2312" w:eastAsia="仿宋_GB2312" w:cs="仿宋_GB2312"/>
          <w:sz w:val="32"/>
          <w:szCs w:val="32"/>
          <w:lang w:val="en-US" w:eastAsia="zh-CN"/>
        </w:rPr>
        <w:t>双随机</w:t>
      </w:r>
      <w:bookmarkEnd w:id="0"/>
      <w:r>
        <w:rPr>
          <w:rFonts w:hint="eastAsia" w:ascii="仿宋_GB2312" w:hAnsi="仿宋_GB2312" w:eastAsia="仿宋_GB2312" w:cs="仿宋_GB2312"/>
          <w:sz w:val="32"/>
          <w:szCs w:val="32"/>
          <w:lang w:val="en-US" w:eastAsia="zh-CN"/>
        </w:rPr>
        <w:t>、一公开”的方式，对已列入绿色矿山名录的矿山企业进行检查，检查结果向社会公告。”</w:t>
      </w:r>
    </w:p>
    <w:p w14:paraId="47F530E3">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（八）将原条例第四十六条修改为</w:t>
      </w:r>
      <w:r>
        <w:rPr>
          <w:rFonts w:hint="eastAsia" w:ascii="宋体" w:hAnsi="宋体" w:cs="宋体"/>
          <w:b/>
          <w:bCs/>
          <w:color w:val="FF0000"/>
          <w:kern w:val="0"/>
          <w:sz w:val="24"/>
        </w:rPr>
        <w:t>　</w:t>
      </w:r>
      <w:r>
        <w:rPr>
          <w:rFonts w:hint="eastAsia" w:ascii="仿宋_GB2312" w:hAnsi="仿宋_GB2312" w:eastAsia="仿宋_GB2312" w:cs="仿宋_GB2312"/>
          <w:sz w:val="32"/>
          <w:szCs w:val="32"/>
          <w:lang w:val="en-US" w:eastAsia="zh-CN"/>
        </w:rPr>
        <w:t>“违反本条例第八条第二款规定，采矿权人未达到方案确定的开采回采率、采矿贫化率、选矿回收率、矿山水循环利用率和土地复垦率等指标的，由市、旗区人民政府自然资源主管部门责令限期改正，处10万元以上50万元以下的罚款；逾期不改正的，由采矿许可证颁发机关依法吊销采矿许可证。”</w:t>
      </w:r>
    </w:p>
    <w:p w14:paraId="70908014">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（九）将原条例第四十八条“</w:t>
      </w:r>
      <w:r>
        <w:rPr>
          <w:rFonts w:hint="eastAsia" w:ascii="宋体" w:hAnsi="宋体" w:cs="宋体"/>
          <w:color w:val="000000"/>
          <w:kern w:val="0"/>
          <w:sz w:val="24"/>
        </w:rPr>
        <w:t>　</w:t>
      </w:r>
      <w:r>
        <w:rPr>
          <w:rFonts w:hint="eastAsia" w:ascii="仿宋_GB2312" w:hAnsi="仿宋_GB2312" w:eastAsia="仿宋_GB2312" w:cs="仿宋_GB2312"/>
          <w:sz w:val="32"/>
          <w:szCs w:val="32"/>
          <w:lang w:val="en-US" w:eastAsia="zh-CN"/>
        </w:rPr>
        <w:t>违反本条例第二十二条，在矿山闭坑前或者闭坑后未完成生态修复的，由旗区以上自然资源主管部门责令限期修复，处50万元以上200万元以下的罚款；逾期仍未修复的，由自然资源主管部门依法确定有修复能力的单位代为修复，所需费用由违法者承担，并可以提起生态损害赔偿诉讼”删除。</w:t>
      </w:r>
    </w:p>
    <w:p w14:paraId="151C15EF">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（十）将原条例第十一条、第十八条、第二十三条、第二十四条、第二十七条、第四十条、第四十一条、第四十二条、第四十九条中“矿山地质环境保护与土地复垦”的术语修改为“矿区生态修复”。</w:t>
      </w:r>
    </w:p>
    <w:p w14:paraId="2AAF6E59">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（十一）将原条例第二十六条、第三十九条、第四十条、第四十一条、第四十二条、第五十一条中“矿山地质环境治理恢复”的术语修改为“矿区生态修复”。</w:t>
      </w:r>
    </w:p>
    <w:p w14:paraId="4544FB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14:paraId="7CFF9561">
      <w:pPr>
        <w:pStyle w:val="2"/>
        <w:rPr>
          <w:rFonts w:hint="eastAsia" w:ascii="仿宋_GB2312" w:hAnsi="仿宋_GB2312" w:eastAsia="仿宋_GB2312" w:cs="仿宋_GB2312"/>
          <w:sz w:val="32"/>
          <w:szCs w:val="32"/>
          <w:lang w:val="en-US" w:eastAsia="zh-CN"/>
        </w:rPr>
      </w:pPr>
    </w:p>
    <w:p w14:paraId="694490E3">
      <w:pPr>
        <w:pStyle w:val="2"/>
        <w:rPr>
          <w:rFonts w:hint="eastAsia" w:ascii="仿宋_GB2312" w:hAnsi="仿宋_GB2312" w:eastAsia="仿宋_GB2312" w:cs="仿宋_GB2312"/>
          <w:sz w:val="32"/>
          <w:szCs w:val="32"/>
          <w:lang w:val="en-US" w:eastAsia="zh-CN"/>
        </w:rPr>
      </w:pPr>
    </w:p>
    <w:p w14:paraId="3C1C2E5D">
      <w:pPr>
        <w:pStyle w:val="2"/>
        <w:rPr>
          <w:rFonts w:hint="eastAsia" w:ascii="仿宋_GB2312" w:hAnsi="仿宋_GB2312" w:eastAsia="仿宋_GB2312" w:cs="仿宋_GB2312"/>
          <w:sz w:val="32"/>
          <w:szCs w:val="32"/>
          <w:lang w:val="en-US" w:eastAsia="zh-CN"/>
        </w:rPr>
      </w:pPr>
    </w:p>
    <w:p w14:paraId="56006EBE">
      <w:pPr>
        <w:pStyle w:val="2"/>
        <w:rPr>
          <w:rFonts w:hint="eastAsia" w:ascii="仿宋_GB2312" w:hAnsi="仿宋_GB2312" w:eastAsia="仿宋_GB2312" w:cs="仿宋_GB2312"/>
          <w:sz w:val="32"/>
          <w:szCs w:val="32"/>
          <w:lang w:val="en-US" w:eastAsia="zh-CN"/>
        </w:rPr>
      </w:pPr>
    </w:p>
    <w:p w14:paraId="07AEECDB">
      <w:pPr>
        <w:pStyle w:val="2"/>
        <w:rPr>
          <w:rFonts w:hint="eastAsia" w:ascii="仿宋_GB2312" w:hAnsi="仿宋_GB2312" w:eastAsia="仿宋_GB2312" w:cs="仿宋_GB2312"/>
          <w:sz w:val="32"/>
          <w:szCs w:val="32"/>
          <w:lang w:val="en-US" w:eastAsia="zh-CN"/>
        </w:rPr>
      </w:pPr>
    </w:p>
    <w:p w14:paraId="7554160C">
      <w:pPr>
        <w:pStyle w:val="2"/>
        <w:ind w:left="0" w:leftChars="0" w:firstLine="0" w:firstLineChars="0"/>
        <w:jc w:val="both"/>
        <w:rPr>
          <w:rFonts w:hint="eastAsia" w:ascii="仿宋_GB2312" w:hAnsi="仿宋_GB2312" w:eastAsia="仿宋_GB2312" w:cs="仿宋_GB2312"/>
          <w:sz w:val="32"/>
          <w:szCs w:val="32"/>
          <w:lang w:val="en-US" w:eastAsia="zh-CN"/>
        </w:rPr>
      </w:pPr>
    </w:p>
    <w:sectPr>
      <w:pgSz w:w="11906" w:h="16838"/>
      <w:pgMar w:top="2154" w:right="1417" w:bottom="2041" w:left="1531"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FFB60A"/>
    <w:rsid w:val="17DB381E"/>
    <w:rsid w:val="1B610FF3"/>
    <w:rsid w:val="1FB12B73"/>
    <w:rsid w:val="28396023"/>
    <w:rsid w:val="2A3A3996"/>
    <w:rsid w:val="2E3C21B3"/>
    <w:rsid w:val="362F5873"/>
    <w:rsid w:val="374B69A6"/>
    <w:rsid w:val="37FF2E68"/>
    <w:rsid w:val="391159AF"/>
    <w:rsid w:val="3BB34691"/>
    <w:rsid w:val="3C6D5A25"/>
    <w:rsid w:val="3C7249B6"/>
    <w:rsid w:val="3CA931B7"/>
    <w:rsid w:val="456B118B"/>
    <w:rsid w:val="4C2F6CFB"/>
    <w:rsid w:val="4DED20EF"/>
    <w:rsid w:val="57FFB60A"/>
    <w:rsid w:val="60645B14"/>
    <w:rsid w:val="60CA51C4"/>
    <w:rsid w:val="6C3B62C3"/>
    <w:rsid w:val="77F24622"/>
    <w:rsid w:val="7ACF7189"/>
    <w:rsid w:val="B3FF0892"/>
    <w:rsid w:val="DA5452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rmalIndent"/>
    <w:qFormat/>
    <w:uiPriority w:val="0"/>
    <w:pPr>
      <w:widowControl w:val="0"/>
      <w:ind w:firstLine="420" w:firstLineChars="200"/>
      <w:jc w:val="both"/>
      <w:textAlignment w:val="baseline"/>
    </w:pPr>
    <w:rPr>
      <w:rFonts w:ascii="Times New Roman" w:hAnsi="Times New Roman" w:eastAsia="仿宋" w:cs="Times New Roman"/>
      <w:kern w:val="2"/>
      <w:sz w:val="32"/>
      <w:szCs w:val="24"/>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1078</Words>
  <Characters>1083</Characters>
  <Lines>0</Lines>
  <Paragraphs>0</Paragraphs>
  <TotalTime>2</TotalTime>
  <ScaleCrop>false</ScaleCrop>
  <LinksUpToDate>false</LinksUpToDate>
  <CharactersWithSpaces>1085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2025-04-30T17:33:00Z</dcterms:created>
  <dc:creator>greatwall</dc:creator>
  <cp:lastModifiedBy>啦啦啦啦啦啦</cp:lastModifiedBy>
  <dcterms:modified xsi:type="dcterms:W3CDTF">2025-05-12T01:41:01Z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eyJoZGlkIjoiOTQxNTVkNWI0Y2E2ZWVhYzM0MjFhNjczYjNkMTI4MDgiLCJ1c2VySWQiOiIzMTgxMjIzODAifQ==</vt:lpwstr>
  </property>
  <property fmtid="{D5CDD505-2E9C-101B-9397-08002B2CF9AE}" pid="4" name="ICV">
    <vt:lpwstr>8C3643B5527A479E937A2EAE4AD47EC7_13</vt:lpwstr>
  </property>
</Properties>
</file>