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both"/>
        <w:textAlignment w:val="auto"/>
        <w:rPr>
          <w:rFonts w:hint="default"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pStyle w:val="10"/>
        <w:ind w:left="0" w:leftChars="0" w:firstLine="0" w:firstLineChars="0"/>
        <w:jc w:val="center"/>
        <w:rPr>
          <w:rFonts w:hint="eastAsia"/>
          <w:color w:val="auto"/>
          <w:spacing w:val="0"/>
          <w:w w:val="100"/>
          <w:highlight w:val="none"/>
        </w:rPr>
      </w:pPr>
    </w:p>
    <w:p>
      <w:pPr>
        <w:pStyle w:val="10"/>
        <w:ind w:left="0" w:leftChars="0" w:firstLine="0" w:firstLineChars="0"/>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《准格尔旗蒙盛新材料有限责任公司高岭土矿矿产资源开发利用方案》</w:t>
      </w: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2</w:t>
      </w:r>
      <w:r>
        <w:rPr>
          <w:rFonts w:hint="eastAsia" w:ascii="仿宋" w:hAnsi="仿宋" w:eastAsia="仿宋" w:cs="仿宋"/>
          <w:color w:val="auto"/>
          <w:spacing w:val="0"/>
          <w:w w:val="100"/>
          <w:sz w:val="32"/>
          <w:szCs w:val="32"/>
          <w:highlight w:val="none"/>
        </w:rPr>
        <w:t>号</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6"/>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pPr>
        <w:pStyle w:val="10"/>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8</w:t>
      </w:r>
      <w:r>
        <w:rPr>
          <w:rFonts w:hint="eastAsia" w:ascii="宋体" w:hAnsi="宋体" w:eastAsia="宋体" w:cs="宋体"/>
          <w:color w:val="auto"/>
          <w:spacing w:val="0"/>
          <w:w w:val="100"/>
          <w:sz w:val="32"/>
          <w:szCs w:val="32"/>
          <w:highlight w:val="none"/>
        </w:rPr>
        <w:t>日</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0" w:footer="992" w:gutter="0"/>
          <w:pgBorders>
            <w:top w:val="none" w:sz="0" w:space="0"/>
            <w:left w:val="none" w:sz="0" w:space="0"/>
            <w:bottom w:val="none" w:sz="0" w:space="0"/>
            <w:right w:val="none" w:sz="0" w:space="0"/>
          </w:pgBorders>
          <w:pgNumType w:fmt="decimal" w:start="0"/>
          <w:cols w:space="0" w:num="1"/>
          <w:rtlGutter w:val="0"/>
          <w:docGrid w:linePitch="326" w:charSpace="0"/>
        </w:sectPr>
      </w:pP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588912069"/>
        </w:rPr>
        <w:t>申报单</w:t>
      </w:r>
      <w:r>
        <w:rPr>
          <w:rFonts w:hint="eastAsia" w:ascii="宋体" w:hAnsi="宋体" w:eastAsia="宋体" w:cs="宋体"/>
          <w:color w:val="auto"/>
          <w:spacing w:val="1"/>
          <w:w w:val="100"/>
          <w:kern w:val="0"/>
          <w:sz w:val="32"/>
          <w:szCs w:val="32"/>
          <w:highlight w:val="none"/>
          <w:fitText w:val="1600" w:id="588912069"/>
        </w:rPr>
        <w:t>位</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bCs/>
          <w:color w:val="auto"/>
          <w:spacing w:val="0"/>
          <w:w w:val="100"/>
          <w:sz w:val="32"/>
          <w:szCs w:val="32"/>
          <w:highlight w:val="none"/>
          <w:lang w:eastAsia="zh-CN"/>
        </w:rPr>
        <w:t>准格尔旗蒙盛新材料有限责任公司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962938121"/>
        </w:rPr>
        <w:t>编制单</w:t>
      </w:r>
      <w:r>
        <w:rPr>
          <w:rFonts w:hint="eastAsia" w:ascii="宋体" w:hAnsi="宋体" w:eastAsia="宋体" w:cs="宋体"/>
          <w:color w:val="auto"/>
          <w:spacing w:val="1"/>
          <w:w w:val="100"/>
          <w:kern w:val="0"/>
          <w:sz w:val="32"/>
          <w:szCs w:val="32"/>
          <w:highlight w:val="none"/>
          <w:fitText w:val="1600" w:id="962938121"/>
        </w:rPr>
        <w:t>位</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bCs/>
          <w:color w:val="auto"/>
          <w:spacing w:val="0"/>
          <w:w w:val="100"/>
          <w:sz w:val="32"/>
          <w:szCs w:val="32"/>
          <w:highlight w:val="none"/>
          <w:lang w:eastAsia="zh-CN"/>
        </w:rPr>
        <w:t>内蒙古三维拓普地质勘察设计有限责任公司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主要编写人：</w:t>
      </w:r>
      <w:r>
        <w:rPr>
          <w:rFonts w:hint="eastAsia" w:ascii="宋体" w:hAnsi="宋体" w:eastAsia="宋体" w:cs="宋体"/>
          <w:bCs/>
          <w:color w:val="auto"/>
          <w:spacing w:val="0"/>
          <w:w w:val="100"/>
          <w:sz w:val="32"/>
          <w:szCs w:val="32"/>
          <w:highlight w:val="none"/>
          <w:lang w:val="en-US" w:eastAsia="zh-CN"/>
        </w:rPr>
        <w:t>穆春云</w:t>
      </w:r>
      <w:r>
        <w:rPr>
          <w:rFonts w:hint="eastAsia" w:ascii="宋体" w:hAnsi="宋体" w:eastAsia="宋体" w:cs="宋体"/>
          <w:bCs/>
          <w:color w:val="auto"/>
          <w:spacing w:val="0"/>
          <w:w w:val="100"/>
          <w:sz w:val="32"/>
          <w:szCs w:val="32"/>
          <w:highlight w:val="none"/>
          <w:lang w:eastAsia="zh-CN"/>
        </w:rPr>
        <w:t xml:space="preserve">  王</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帅  安海江  贾松毫</w:t>
      </w:r>
    </w:p>
    <w:p>
      <w:pPr>
        <w:pStyle w:val="10"/>
        <w:keepNext w:val="0"/>
        <w:keepLines w:val="0"/>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979789321"/>
          <w:lang w:eastAsia="zh-CN"/>
        </w:rPr>
        <w:t>编制日</w:t>
      </w:r>
      <w:r>
        <w:rPr>
          <w:rFonts w:hint="eastAsia" w:ascii="宋体" w:hAnsi="宋体" w:eastAsia="宋体" w:cs="宋体"/>
          <w:color w:val="auto"/>
          <w:spacing w:val="1"/>
          <w:w w:val="100"/>
          <w:kern w:val="0"/>
          <w:sz w:val="32"/>
          <w:szCs w:val="32"/>
          <w:highlight w:val="none"/>
          <w:fitText w:val="1600" w:id="979789321"/>
          <w:lang w:eastAsia="zh-CN"/>
        </w:rPr>
        <w:t>期</w:t>
      </w:r>
      <w:r>
        <w:rPr>
          <w:rFonts w:hint="eastAsia" w:ascii="宋体" w:hAnsi="宋体" w:eastAsia="宋体" w:cs="宋体"/>
          <w:color w:val="auto"/>
          <w:spacing w:val="0"/>
          <w:w w:val="100"/>
          <w:kern w:val="0"/>
          <w:sz w:val="32"/>
          <w:szCs w:val="32"/>
          <w:highlight w:val="none"/>
          <w:lang w:eastAsia="zh-CN"/>
        </w:rPr>
        <w:t>：</w:t>
      </w: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cs="宋体"/>
          <w:color w:val="auto"/>
          <w:spacing w:val="0"/>
          <w:w w:val="100"/>
          <w:sz w:val="32"/>
          <w:szCs w:val="32"/>
          <w:highlight w:val="none"/>
          <w:lang w:val="en-US" w:eastAsia="zh-CN"/>
        </w:rPr>
        <w:t>3</w:t>
      </w:r>
      <w:r>
        <w:rPr>
          <w:rFonts w:hint="eastAsia" w:ascii="宋体" w:hAnsi="宋体" w:eastAsia="宋体" w:cs="宋体"/>
          <w:color w:val="auto"/>
          <w:spacing w:val="0"/>
          <w:w w:val="100"/>
          <w:sz w:val="32"/>
          <w:szCs w:val="32"/>
          <w:highlight w:val="none"/>
        </w:rPr>
        <w:t>月</w:t>
      </w:r>
    </w:p>
    <w:p>
      <w:pPr>
        <w:pStyle w:val="10"/>
        <w:keepNext w:val="0"/>
        <w:keepLines w:val="0"/>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pacing w:val="0"/>
          <w:w w:val="100"/>
          <w:sz w:val="32"/>
          <w:szCs w:val="32"/>
          <w:highlight w:val="none"/>
          <w:lang w:val="en-US" w:eastAsia="zh-CN"/>
        </w:rPr>
      </w:pPr>
      <w:r>
        <w:rPr>
          <w:rFonts w:hint="eastAsia" w:ascii="宋体" w:hAnsi="宋体" w:eastAsia="宋体" w:cs="宋体"/>
          <w:color w:val="auto"/>
          <w:spacing w:val="53"/>
          <w:w w:val="100"/>
          <w:kern w:val="0"/>
          <w:sz w:val="32"/>
          <w:szCs w:val="32"/>
          <w:highlight w:val="none"/>
          <w:fitText w:val="1600" w:id="1903036449"/>
          <w:lang w:eastAsia="zh-CN"/>
        </w:rPr>
        <w:t>受理日</w:t>
      </w:r>
      <w:r>
        <w:rPr>
          <w:rFonts w:hint="eastAsia" w:ascii="宋体" w:hAnsi="宋体" w:eastAsia="宋体" w:cs="宋体"/>
          <w:color w:val="auto"/>
          <w:spacing w:val="1"/>
          <w:w w:val="100"/>
          <w:kern w:val="0"/>
          <w:sz w:val="32"/>
          <w:szCs w:val="32"/>
          <w:highlight w:val="none"/>
          <w:fitText w:val="1600" w:id="1903036449"/>
          <w:lang w:eastAsia="zh-CN"/>
        </w:rPr>
        <w:t>期</w:t>
      </w:r>
      <w:r>
        <w:rPr>
          <w:rFonts w:hint="eastAsia" w:ascii="宋体" w:hAnsi="宋体" w:cs="宋体"/>
          <w:color w:val="auto"/>
          <w:spacing w:val="0"/>
          <w:w w:val="100"/>
          <w:kern w:val="0"/>
          <w:sz w:val="32"/>
          <w:szCs w:val="32"/>
          <w:highlight w:val="none"/>
          <w:lang w:eastAsia="zh-CN"/>
        </w:rPr>
        <w:t>：</w:t>
      </w: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月</w:t>
      </w:r>
      <w:r>
        <w:rPr>
          <w:rFonts w:hint="eastAsia" w:ascii="宋体" w:hAnsi="宋体" w:cs="宋体"/>
          <w:color w:val="auto"/>
          <w:spacing w:val="0"/>
          <w:w w:val="100"/>
          <w:sz w:val="32"/>
          <w:szCs w:val="32"/>
          <w:highlight w:val="none"/>
          <w:lang w:val="en-US" w:eastAsia="zh-CN"/>
        </w:rPr>
        <w:t>2</w:t>
      </w:r>
      <w:r>
        <w:rPr>
          <w:rFonts w:hint="eastAsia" w:ascii="宋体" w:hAnsi="宋体" w:eastAsia="宋体" w:cs="宋体"/>
          <w:color w:val="auto"/>
          <w:spacing w:val="0"/>
          <w:w w:val="100"/>
          <w:sz w:val="32"/>
          <w:szCs w:val="32"/>
          <w:highlight w:val="none"/>
          <w:lang w:val="en-US" w:eastAsia="zh-CN"/>
        </w:rPr>
        <w:t>日</w:t>
      </w:r>
    </w:p>
    <w:p>
      <w:pPr>
        <w:keepNext w:val="0"/>
        <w:keepLines w:val="0"/>
        <w:pageBreakBefore w:val="0"/>
        <w:widowControl w:val="0"/>
        <w:kinsoku/>
        <w:wordWrap/>
        <w:overflowPunct/>
        <w:topLinePunct w:val="0"/>
        <w:autoSpaceDE/>
        <w:autoSpaceDN/>
        <w:bidi w:val="0"/>
        <w:spacing w:line="360" w:lineRule="auto"/>
        <w:ind w:left="0"/>
        <w:jc w:val="both"/>
        <w:textAlignment w:val="auto"/>
        <w:rPr>
          <w:rFonts w:hint="eastAsia" w:ascii="宋体" w:hAnsi="宋体" w:eastAsia="宋体" w:cs="宋体"/>
          <w:color w:val="auto"/>
          <w:spacing w:val="0"/>
          <w:w w:val="100"/>
          <w:kern w:val="0"/>
          <w:sz w:val="32"/>
          <w:szCs w:val="32"/>
          <w:highlight w:val="none"/>
          <w:lang w:val="en-US" w:eastAsia="zh-CN" w:bidi="ar-SA"/>
        </w:rPr>
      </w:pPr>
      <w:r>
        <w:rPr>
          <w:rFonts w:hint="eastAsia" w:ascii="宋体" w:hAnsi="宋体" w:eastAsia="宋体" w:cs="宋体"/>
          <w:color w:val="auto"/>
          <w:spacing w:val="160"/>
          <w:w w:val="100"/>
          <w:kern w:val="0"/>
          <w:sz w:val="32"/>
          <w:szCs w:val="32"/>
          <w:highlight w:val="none"/>
          <w:fitText w:val="1600" w:id="1161651511"/>
          <w:lang w:val="en-US" w:eastAsia="zh-CN" w:bidi="ar-SA"/>
        </w:rPr>
        <w:t>汇报</w:t>
      </w:r>
      <w:r>
        <w:rPr>
          <w:rFonts w:hint="eastAsia" w:ascii="宋体" w:hAnsi="宋体" w:eastAsia="宋体" w:cs="宋体"/>
          <w:color w:val="auto"/>
          <w:spacing w:val="0"/>
          <w:w w:val="100"/>
          <w:kern w:val="0"/>
          <w:sz w:val="32"/>
          <w:szCs w:val="32"/>
          <w:highlight w:val="none"/>
          <w:fitText w:val="1600" w:id="1161651511"/>
          <w:lang w:val="en-US" w:eastAsia="zh-CN" w:bidi="ar-SA"/>
        </w:rPr>
        <w:t>人</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val="en-US" w:eastAsia="zh-CN"/>
        </w:rPr>
        <w:t>穆春云</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hanging="9" w:firstLineChars="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kern w:val="0"/>
          <w:sz w:val="32"/>
          <w:szCs w:val="32"/>
          <w:highlight w:val="none"/>
          <w:fitText w:val="1600" w:id="982209465"/>
        </w:rPr>
        <w:t>审查专家组</w:t>
      </w:r>
    </w:p>
    <w:p>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组  长：</w:t>
      </w:r>
      <w:r>
        <w:rPr>
          <w:rFonts w:hint="eastAsia" w:ascii="宋体" w:hAnsi="宋体" w:eastAsia="宋体" w:cs="宋体"/>
          <w:bCs/>
          <w:color w:val="auto"/>
          <w:spacing w:val="0"/>
          <w:w w:val="100"/>
          <w:sz w:val="32"/>
          <w:szCs w:val="32"/>
          <w:highlight w:val="none"/>
          <w:lang w:eastAsia="zh-CN"/>
        </w:rPr>
        <w:t>孙利清</w:t>
      </w:r>
      <w:r>
        <w:rPr>
          <w:rFonts w:hint="eastAsia" w:ascii="宋体" w:hAnsi="宋体" w:eastAsia="宋体" w:cs="宋体"/>
          <w:color w:val="auto"/>
          <w:spacing w:val="0"/>
          <w:w w:val="100"/>
          <w:sz w:val="32"/>
          <w:szCs w:val="32"/>
          <w:highlight w:val="none"/>
        </w:rPr>
        <w:t>（</w:t>
      </w:r>
      <w:r>
        <w:rPr>
          <w:rFonts w:hint="eastAsia" w:ascii="宋体" w:hAnsi="宋体" w:eastAsia="宋体" w:cs="宋体"/>
          <w:color w:val="auto"/>
          <w:spacing w:val="0"/>
          <w:w w:val="100"/>
          <w:sz w:val="32"/>
          <w:szCs w:val="32"/>
          <w:highlight w:val="none"/>
          <w:lang w:eastAsia="zh-CN"/>
        </w:rPr>
        <w:t>采矿</w:t>
      </w:r>
      <w:r>
        <w:rPr>
          <w:rFonts w:hint="eastAsia" w:ascii="宋体" w:hAnsi="宋体" w:eastAsia="宋体" w:cs="宋体"/>
          <w:color w:val="auto"/>
          <w:spacing w:val="0"/>
          <w:w w:val="100"/>
          <w:sz w:val="32"/>
          <w:szCs w:val="32"/>
          <w:highlight w:val="none"/>
        </w:rPr>
        <w:t>）</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firstLine="640" w:firstLineChars="2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color w:val="auto"/>
          <w:spacing w:val="0"/>
          <w:w w:val="100"/>
          <w:kern w:val="0"/>
          <w:sz w:val="32"/>
          <w:szCs w:val="32"/>
          <w:highlight w:val="none"/>
        </w:rPr>
        <w:t>成</w:t>
      </w:r>
      <w:r>
        <w:rPr>
          <w:rFonts w:hint="eastAsia" w:ascii="宋体" w:hAnsi="宋体" w:cs="宋体"/>
          <w:color w:val="auto"/>
          <w:spacing w:val="0"/>
          <w:w w:val="100"/>
          <w:kern w:val="0"/>
          <w:sz w:val="32"/>
          <w:szCs w:val="32"/>
          <w:highlight w:val="none"/>
          <w:lang w:val="en-US" w:eastAsia="zh-CN"/>
        </w:rPr>
        <w:t xml:space="preserve">  </w:t>
      </w:r>
      <w:r>
        <w:rPr>
          <w:rFonts w:hint="eastAsia" w:ascii="宋体" w:hAnsi="宋体" w:eastAsia="宋体" w:cs="宋体"/>
          <w:color w:val="auto"/>
          <w:spacing w:val="0"/>
          <w:w w:val="100"/>
          <w:kern w:val="0"/>
          <w:sz w:val="32"/>
          <w:szCs w:val="32"/>
          <w:highlight w:val="none"/>
        </w:rPr>
        <w:t>员</w:t>
      </w:r>
      <w:r>
        <w:rPr>
          <w:rFonts w:hint="eastAsia" w:ascii="宋体" w:hAnsi="宋体" w:eastAsia="宋体" w:cs="宋体"/>
          <w:color w:val="auto"/>
          <w:spacing w:val="0"/>
          <w:w w:val="100"/>
          <w:sz w:val="32"/>
          <w:szCs w:val="32"/>
          <w:highlight w:val="none"/>
        </w:rPr>
        <w:t>：</w:t>
      </w:r>
      <w:r>
        <w:rPr>
          <w:rFonts w:hint="eastAsia" w:ascii="宋体" w:hAnsi="宋体" w:eastAsia="宋体" w:cs="宋体"/>
          <w:bCs/>
          <w:color w:val="auto"/>
          <w:spacing w:val="0"/>
          <w:w w:val="100"/>
          <w:sz w:val="32"/>
          <w:szCs w:val="32"/>
          <w:highlight w:val="none"/>
          <w:lang w:eastAsia="zh-CN"/>
        </w:rPr>
        <w:t>左满权</w:t>
      </w:r>
      <w:r>
        <w:rPr>
          <w:rFonts w:hint="eastAsia" w:ascii="宋体" w:hAnsi="宋体" w:eastAsia="宋体" w:cs="宋体"/>
          <w:bCs/>
          <w:color w:val="auto"/>
          <w:spacing w:val="0"/>
          <w:w w:val="100"/>
          <w:sz w:val="32"/>
          <w:szCs w:val="32"/>
          <w:highlight w:val="none"/>
          <w:lang w:val="en-US" w:eastAsia="zh-CN"/>
        </w:rPr>
        <w:t xml:space="preserve">（采矿）  </w:t>
      </w:r>
      <w:r>
        <w:rPr>
          <w:rFonts w:hint="eastAsia" w:ascii="宋体" w:hAnsi="宋体" w:eastAsia="宋体" w:cs="宋体"/>
          <w:bCs/>
          <w:color w:val="auto"/>
          <w:spacing w:val="0"/>
          <w:w w:val="100"/>
          <w:sz w:val="32"/>
          <w:szCs w:val="32"/>
          <w:highlight w:val="none"/>
          <w:lang w:eastAsia="zh-CN"/>
        </w:rPr>
        <w:t>任超军（地质矿产）</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firstLine="1920" w:firstLineChars="60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bCs/>
          <w:color w:val="auto"/>
          <w:spacing w:val="0"/>
          <w:w w:val="100"/>
          <w:sz w:val="32"/>
          <w:szCs w:val="32"/>
          <w:highlight w:val="none"/>
          <w:lang w:eastAsia="zh-CN"/>
        </w:rPr>
        <w:t xml:space="preserve">李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志（水工环）</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刘永茂（选</w:t>
      </w:r>
      <w:r>
        <w:rPr>
          <w:rFonts w:hint="eastAsia" w:ascii="宋体" w:hAnsi="宋体" w:eastAsia="宋体" w:cs="宋体"/>
          <w:bCs/>
          <w:color w:val="auto"/>
          <w:spacing w:val="0"/>
          <w:w w:val="100"/>
          <w:sz w:val="32"/>
          <w:szCs w:val="32"/>
          <w:highlight w:val="none"/>
          <w:lang w:val="en-US" w:eastAsia="zh-CN"/>
        </w:rPr>
        <w:t>矿</w:t>
      </w:r>
      <w:r>
        <w:rPr>
          <w:rFonts w:hint="eastAsia" w:ascii="宋体" w:hAnsi="宋体" w:eastAsia="宋体" w:cs="宋体"/>
          <w:bCs/>
          <w:color w:val="auto"/>
          <w:spacing w:val="0"/>
          <w:w w:val="10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139750265"/>
          <w:lang w:val="en-US" w:eastAsia="zh-CN" w:bidi="ar-SA"/>
        </w:rPr>
        <w:t>审查方</w:t>
      </w:r>
      <w:r>
        <w:rPr>
          <w:rFonts w:hint="eastAsia" w:ascii="宋体" w:hAnsi="宋体" w:eastAsia="宋体" w:cs="宋体"/>
          <w:color w:val="auto"/>
          <w:spacing w:val="1"/>
          <w:w w:val="100"/>
          <w:kern w:val="0"/>
          <w:sz w:val="32"/>
          <w:szCs w:val="32"/>
          <w:highlight w:val="none"/>
          <w:fitText w:val="1600" w:id="1139750265"/>
          <w:lang w:val="en-US" w:eastAsia="zh-CN" w:bidi="ar-SA"/>
        </w:rPr>
        <w:t>式</w:t>
      </w:r>
      <w:r>
        <w:rPr>
          <w:rFonts w:hint="eastAsia" w:ascii="宋体" w:hAnsi="宋体" w:eastAsia="宋体" w:cs="宋体"/>
          <w:color w:val="auto"/>
          <w:spacing w:val="0"/>
          <w:w w:val="100"/>
          <w:kern w:val="0"/>
          <w:sz w:val="32"/>
          <w:szCs w:val="32"/>
          <w:highlight w:val="none"/>
        </w:rPr>
        <w:t>：</w:t>
      </w:r>
      <w:r>
        <w:rPr>
          <w:rFonts w:hint="eastAsia" w:ascii="宋体" w:hAnsi="宋体" w:eastAsia="宋体" w:cs="宋体"/>
          <w:color w:val="auto"/>
          <w:spacing w:val="0"/>
          <w:w w:val="100"/>
          <w:sz w:val="32"/>
          <w:szCs w:val="32"/>
          <w:highlight w:val="none"/>
          <w:lang w:eastAsia="zh-CN"/>
        </w:rPr>
        <w:t>会议审查</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303313527"/>
          <w:lang w:val="en-US" w:eastAsia="zh-CN" w:bidi="ar-SA"/>
        </w:rPr>
        <w:t>审查日</w:t>
      </w:r>
      <w:r>
        <w:rPr>
          <w:rFonts w:hint="eastAsia" w:ascii="宋体" w:hAnsi="宋体" w:eastAsia="宋体" w:cs="宋体"/>
          <w:color w:val="auto"/>
          <w:spacing w:val="1"/>
          <w:w w:val="100"/>
          <w:kern w:val="0"/>
          <w:sz w:val="32"/>
          <w:szCs w:val="32"/>
          <w:highlight w:val="none"/>
          <w:fitText w:val="1600" w:id="303313527"/>
          <w:lang w:val="en-US" w:eastAsia="zh-CN" w:bidi="ar-SA"/>
        </w:rPr>
        <w:t>期</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eastAsia="zh-CN"/>
        </w:rPr>
        <w:t>202</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4</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10</w:t>
      </w:r>
      <w:r>
        <w:rPr>
          <w:rFonts w:hint="eastAsia" w:ascii="宋体" w:hAnsi="宋体" w:eastAsia="宋体" w:cs="宋体"/>
          <w:bCs/>
          <w:color w:val="auto"/>
          <w:spacing w:val="0"/>
          <w:w w:val="100"/>
          <w:sz w:val="32"/>
          <w:szCs w:val="32"/>
          <w:highlight w:val="none"/>
          <w:lang w:eastAsia="zh-CN"/>
        </w:rPr>
        <w:t>日</w:t>
      </w:r>
    </w:p>
    <w:p>
      <w:pPr>
        <w:pStyle w:val="6"/>
        <w:keepNext w:val="0"/>
        <w:keepLines w:val="0"/>
        <w:pageBreakBefore w:val="0"/>
        <w:widowControl w:val="0"/>
        <w:kinsoku/>
        <w:wordWrap/>
        <w:overflowPunct/>
        <w:topLinePunct w:val="0"/>
        <w:autoSpaceDE/>
        <w:autoSpaceDN/>
        <w:bidi w:val="0"/>
        <w:spacing w:line="360" w:lineRule="auto"/>
        <w:ind w:left="0"/>
        <w:jc w:val="both"/>
        <w:textAlignment w:val="auto"/>
        <w:rPr>
          <w:rFonts w:hint="eastAsia"/>
          <w:color w:val="auto"/>
          <w:spacing w:val="0"/>
          <w:w w:val="100"/>
          <w:highlight w:val="none"/>
        </w:rPr>
      </w:pPr>
      <w:r>
        <w:rPr>
          <w:rFonts w:hint="eastAsia" w:ascii="宋体" w:hAnsi="宋体" w:eastAsia="宋体" w:cs="宋体"/>
          <w:color w:val="auto"/>
          <w:spacing w:val="0"/>
          <w:w w:val="100"/>
          <w:sz w:val="32"/>
          <w:szCs w:val="32"/>
          <w:highlight w:val="none"/>
          <w:lang w:eastAsia="zh-CN"/>
        </w:rPr>
        <w:t>复核会时间：</w:t>
      </w:r>
      <w:r>
        <w:rPr>
          <w:rFonts w:hint="eastAsia" w:ascii="宋体" w:hAnsi="宋体" w:eastAsia="宋体" w:cs="宋体"/>
          <w:bCs/>
          <w:color w:val="auto"/>
          <w:spacing w:val="0"/>
          <w:w w:val="100"/>
          <w:sz w:val="32"/>
          <w:szCs w:val="32"/>
          <w:highlight w:val="none"/>
          <w:lang w:eastAsia="zh-CN"/>
        </w:rPr>
        <w:t>2024年</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8</w:t>
      </w:r>
      <w:r>
        <w:rPr>
          <w:rFonts w:hint="eastAsia" w:ascii="宋体" w:hAnsi="宋体" w:eastAsia="宋体" w:cs="宋体"/>
          <w:bCs/>
          <w:color w:val="auto"/>
          <w:spacing w:val="0"/>
          <w:w w:val="100"/>
          <w:sz w:val="32"/>
          <w:szCs w:val="32"/>
          <w:highlight w:val="none"/>
          <w:lang w:eastAsia="zh-CN"/>
        </w:rPr>
        <w:t>日</w:t>
      </w:r>
    </w:p>
    <w:p>
      <w:pPr>
        <w:keepNext w:val="0"/>
        <w:keepLines w:val="0"/>
        <w:pageBreakBefore w:val="0"/>
        <w:widowControl w:val="0"/>
        <w:kinsoku/>
        <w:wordWrap/>
        <w:overflowPunct/>
        <w:topLinePunct w:val="0"/>
        <w:autoSpaceDE/>
        <w:autoSpaceDN/>
        <w:bidi w:val="0"/>
        <w:adjustRightInd w:val="0"/>
        <w:snapToGrid w:val="0"/>
        <w:spacing w:line="360" w:lineRule="auto"/>
        <w:ind w:left="0"/>
        <w:jc w:val="both"/>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53"/>
          <w:w w:val="100"/>
          <w:kern w:val="0"/>
          <w:sz w:val="32"/>
          <w:szCs w:val="32"/>
          <w:highlight w:val="none"/>
          <w:fitText w:val="1600" w:id="1850492624"/>
          <w:lang w:val="en-US" w:eastAsia="zh-CN" w:bidi="ar-SA"/>
        </w:rPr>
        <w:t>审查地</w:t>
      </w:r>
      <w:r>
        <w:rPr>
          <w:rFonts w:hint="eastAsia" w:ascii="宋体" w:hAnsi="宋体" w:eastAsia="宋体" w:cs="宋体"/>
          <w:color w:val="auto"/>
          <w:spacing w:val="1"/>
          <w:w w:val="100"/>
          <w:kern w:val="0"/>
          <w:sz w:val="32"/>
          <w:szCs w:val="32"/>
          <w:highlight w:val="none"/>
          <w:fitText w:val="1600" w:id="1850492624"/>
          <w:lang w:val="en-US" w:eastAsia="zh-CN" w:bidi="ar-SA"/>
        </w:rPr>
        <w:t>点</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color w:val="auto"/>
          <w:spacing w:val="0"/>
          <w:w w:val="100"/>
          <w:sz w:val="32"/>
          <w:szCs w:val="32"/>
          <w:highlight w:val="none"/>
        </w:rPr>
        <w:t>呼和浩特市</w:t>
      </w:r>
    </w:p>
    <w:p>
      <w:pPr>
        <w:pStyle w:val="10"/>
        <w:ind w:left="0" w:leftChars="0" w:firstLine="0" w:firstLineChars="0"/>
        <w:jc w:val="both"/>
        <w:rPr>
          <w:rFonts w:hint="eastAsia" w:ascii="宋体" w:hAnsi="宋体"/>
          <w:color w:val="auto"/>
          <w:spacing w:val="0"/>
          <w:sz w:val="28"/>
          <w:szCs w:val="28"/>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bCs/>
          <w:color w:val="auto"/>
          <w:spacing w:val="0"/>
          <w:sz w:val="28"/>
          <w:szCs w:val="28"/>
          <w:highlight w:val="none"/>
          <w:lang w:val="en-US" w:eastAsia="zh-CN"/>
        </w:rPr>
        <w:sectPr>
          <w:pgSz w:w="11906" w:h="16838"/>
          <w:pgMar w:top="2098" w:right="1474" w:bottom="1984" w:left="1587" w:header="850" w:footer="992" w:gutter="0"/>
          <w:pgBorders>
            <w:top w:val="none" w:sz="0" w:space="0"/>
            <w:left w:val="none" w:sz="0" w:space="0"/>
            <w:bottom w:val="none" w:sz="0" w:space="0"/>
            <w:right w:val="none" w:sz="0" w:space="0"/>
          </w:pgBorders>
          <w:pgNumType w:fmt="decimal"/>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鄂尔多斯市地质调查监测院依据《自然资源部办公厅关于印发矿产资源（非油气）开发利用方案编制指南的通知》（自然资办发〔2024〕33号）和《内蒙古自治区自然资源厅关于做好内蒙古自治区矿产资源开发利用方案审查工作的通知》（内自然资字〔2024〕487号）等文件，于2025年</w:t>
      </w:r>
      <w:r>
        <w:rPr>
          <w:rFonts w:hint="eastAsia" w:asciiTheme="minorEastAsia" w:hAnsiTheme="minorEastAsia" w:eastAsiaTheme="minorEastAsia" w:cstheme="minorEastAsia"/>
          <w:color w:val="auto"/>
          <w:spacing w:val="0"/>
          <w:sz w:val="28"/>
          <w:szCs w:val="28"/>
          <w:highlight w:val="none"/>
          <w:lang w:val="en-US" w:eastAsia="zh-CN"/>
        </w:rPr>
        <w:t>4</w:t>
      </w:r>
      <w:r>
        <w:rPr>
          <w:rFonts w:hint="eastAsia" w:asciiTheme="minorEastAsia" w:hAnsiTheme="minorEastAsia" w:eastAsiaTheme="minorEastAsia" w:cstheme="minorEastAsia"/>
          <w:color w:val="auto"/>
          <w:spacing w:val="0"/>
          <w:sz w:val="28"/>
          <w:szCs w:val="28"/>
          <w:highlight w:val="none"/>
        </w:rPr>
        <w:t>月</w:t>
      </w:r>
      <w:r>
        <w:rPr>
          <w:rFonts w:hint="eastAsia" w:asciiTheme="minorEastAsia" w:hAnsiTheme="minorEastAsia" w:eastAsiaTheme="minorEastAsia" w:cstheme="minorEastAsia"/>
          <w:color w:val="auto"/>
          <w:spacing w:val="0"/>
          <w:sz w:val="28"/>
          <w:szCs w:val="28"/>
          <w:highlight w:val="none"/>
          <w:lang w:val="en-US" w:eastAsia="zh-CN"/>
        </w:rPr>
        <w:t>2</w:t>
      </w:r>
      <w:r>
        <w:rPr>
          <w:rFonts w:hint="eastAsia" w:asciiTheme="minorEastAsia" w:hAnsiTheme="minorEastAsia" w:eastAsiaTheme="minorEastAsia" w:cstheme="minorEastAsia"/>
          <w:color w:val="auto"/>
          <w:spacing w:val="0"/>
          <w:sz w:val="28"/>
          <w:szCs w:val="28"/>
          <w:highlight w:val="none"/>
        </w:rPr>
        <w:t>日受理准格尔旗蒙盛新材料有限责任公司提交、内蒙古三维拓普地质勘察设计有限责任公司编制的《</w:t>
      </w:r>
      <w:bookmarkStart w:id="0" w:name="_Hlk197579572"/>
      <w:bookmarkStart w:id="1" w:name="_Hlk197578679"/>
      <w:r>
        <w:rPr>
          <w:rFonts w:hint="eastAsia" w:asciiTheme="minorEastAsia" w:hAnsiTheme="minorEastAsia" w:eastAsiaTheme="minorEastAsia" w:cstheme="minorEastAsia"/>
          <w:color w:val="auto"/>
          <w:spacing w:val="0"/>
          <w:sz w:val="28"/>
          <w:szCs w:val="28"/>
          <w:highlight w:val="none"/>
        </w:rPr>
        <w:t>准格尔旗蒙盛新材料有限责任公司高岭土矿</w:t>
      </w:r>
      <w:bookmarkEnd w:id="0"/>
      <w:r>
        <w:rPr>
          <w:rFonts w:hint="eastAsia" w:asciiTheme="minorEastAsia" w:hAnsiTheme="minorEastAsia" w:eastAsiaTheme="minorEastAsia" w:cstheme="minorEastAsia"/>
          <w:color w:val="auto"/>
          <w:spacing w:val="0"/>
          <w:sz w:val="28"/>
          <w:szCs w:val="28"/>
          <w:highlight w:val="none"/>
        </w:rPr>
        <w:t>矿产资源开发利用方案</w:t>
      </w:r>
      <w:bookmarkEnd w:id="1"/>
      <w:r>
        <w:rPr>
          <w:rFonts w:hint="eastAsia" w:asciiTheme="minorEastAsia" w:hAnsiTheme="minorEastAsia" w:eastAsiaTheme="minorEastAsia" w:cstheme="minorEastAsia"/>
          <w:color w:val="auto"/>
          <w:spacing w:val="0"/>
          <w:sz w:val="28"/>
          <w:szCs w:val="28"/>
          <w:highlight w:val="none"/>
        </w:rPr>
        <w:t>》（以下简称《开发方案》）</w:t>
      </w:r>
      <w:r>
        <w:rPr>
          <w:rFonts w:hint="eastAsia" w:asciiTheme="minorEastAsia" w:hAnsiTheme="minorEastAsia" w:eastAsia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rPr>
        <w:t>于2025年4月10日在呼和浩特市组织专家对《开发方案》进行了审查。专家组在阅读报告、听取介绍、质询和讨论的基础上，形成仅供矿业权管理使用的审查意见如下：</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lang w:eastAsia="zh-CN"/>
        </w:rPr>
        <w:t>《</w:t>
      </w:r>
      <w:r>
        <w:rPr>
          <w:rFonts w:hint="eastAsia" w:ascii="黑体" w:hAnsi="黑体" w:eastAsia="黑体" w:cs="黑体"/>
          <w:b w:val="0"/>
          <w:bCs w:val="0"/>
          <w:color w:val="auto"/>
          <w:spacing w:val="0"/>
          <w:w w:val="100"/>
          <w:sz w:val="28"/>
          <w:szCs w:val="28"/>
          <w:highlight w:val="none"/>
        </w:rPr>
        <w:t>开发方案》的编制目的</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宋体" w:hAnsi="宋体" w:eastAsia="宋体"/>
          <w:color w:val="auto"/>
          <w:spacing w:val="0"/>
          <w:sz w:val="28"/>
          <w:szCs w:val="28"/>
          <w:highlight w:val="none"/>
        </w:rPr>
      </w:pPr>
      <w:r>
        <w:rPr>
          <w:rFonts w:hint="eastAsia" w:ascii="宋体" w:hAnsi="宋体" w:eastAsia="宋体"/>
          <w:color w:val="auto"/>
          <w:spacing w:val="0"/>
          <w:sz w:val="28"/>
          <w:szCs w:val="28"/>
          <w:highlight w:val="none"/>
        </w:rPr>
        <w:t>《开发方案》编制情形属于采矿权扩大</w:t>
      </w:r>
      <w:r>
        <w:rPr>
          <w:rFonts w:hint="eastAsia" w:ascii="宋体" w:hAnsi="宋体" w:eastAsia="宋体"/>
          <w:color w:val="auto"/>
          <w:spacing w:val="0"/>
          <w:sz w:val="28"/>
          <w:szCs w:val="28"/>
          <w:highlight w:val="none"/>
          <w:lang w:eastAsia="zh-CN"/>
        </w:rPr>
        <w:t>矿区</w:t>
      </w:r>
      <w:r>
        <w:rPr>
          <w:rFonts w:hint="eastAsia" w:ascii="宋体" w:hAnsi="宋体" w:eastAsia="宋体"/>
          <w:color w:val="auto"/>
          <w:spacing w:val="0"/>
          <w:sz w:val="28"/>
          <w:szCs w:val="28"/>
          <w:highlight w:val="none"/>
        </w:rPr>
        <w:t>范围，主要目的是进行准格尔旗蒙盛新材料有限责任公司高岭土矿采矿权的上部、</w:t>
      </w:r>
      <w:r>
        <w:rPr>
          <w:rFonts w:hint="eastAsia" w:ascii="宋体" w:hAnsi="宋体" w:eastAsia="宋体"/>
          <w:color w:val="auto"/>
          <w:spacing w:val="0"/>
          <w:sz w:val="28"/>
          <w:szCs w:val="28"/>
          <w:highlight w:val="none"/>
          <w:lang w:eastAsia="zh-CN"/>
        </w:rPr>
        <w:t>深</w:t>
      </w:r>
      <w:r>
        <w:rPr>
          <w:rFonts w:hint="eastAsia" w:ascii="宋体" w:hAnsi="宋体" w:eastAsia="宋体"/>
          <w:color w:val="auto"/>
          <w:spacing w:val="0"/>
          <w:sz w:val="28"/>
          <w:szCs w:val="28"/>
          <w:highlight w:val="none"/>
        </w:rPr>
        <w:t>部</w:t>
      </w:r>
      <w:r>
        <w:rPr>
          <w:rFonts w:hint="eastAsia" w:ascii="宋体" w:hAnsi="宋体" w:eastAsia="宋体"/>
          <w:color w:val="auto"/>
          <w:spacing w:val="0"/>
          <w:sz w:val="28"/>
          <w:szCs w:val="28"/>
          <w:highlight w:val="none"/>
          <w:lang w:eastAsia="zh-CN"/>
        </w:rPr>
        <w:t>资源</w:t>
      </w:r>
      <w:r>
        <w:rPr>
          <w:rFonts w:hint="eastAsia" w:ascii="宋体" w:hAnsi="宋体" w:eastAsia="宋体"/>
          <w:color w:val="auto"/>
          <w:spacing w:val="0"/>
          <w:sz w:val="28"/>
          <w:szCs w:val="28"/>
          <w:highlight w:val="none"/>
        </w:rPr>
        <w:t>与在期采矿权整合转采，</w:t>
      </w:r>
      <w:r>
        <w:rPr>
          <w:rFonts w:hint="eastAsia" w:ascii="宋体" w:hAnsi="宋体" w:cs="宋体"/>
          <w:color w:val="auto"/>
          <w:spacing w:val="0"/>
          <w:sz w:val="28"/>
          <w:szCs w:val="28"/>
          <w:highlight w:val="none"/>
        </w:rPr>
        <w:t>并</w:t>
      </w:r>
      <w:r>
        <w:rPr>
          <w:rFonts w:hint="eastAsia"/>
          <w:color w:val="auto"/>
          <w:spacing w:val="0"/>
          <w:sz w:val="28"/>
          <w:szCs w:val="28"/>
          <w:highlight w:val="none"/>
        </w:rPr>
        <w:t>扩大矿山生产规模</w:t>
      </w:r>
      <w:r>
        <w:rPr>
          <w:rFonts w:hint="eastAsia" w:ascii="宋体" w:hAnsi="宋体" w:cs="宋体"/>
          <w:color w:val="auto"/>
          <w:spacing w:val="0"/>
          <w:sz w:val="28"/>
          <w:szCs w:val="28"/>
          <w:highlight w:val="none"/>
        </w:rPr>
        <w:t>等</w:t>
      </w:r>
      <w:r>
        <w:rPr>
          <w:rFonts w:hint="eastAsia" w:ascii="宋体" w:hAnsi="宋体" w:eastAsia="宋体"/>
          <w:color w:val="auto"/>
          <w:spacing w:val="0"/>
          <w:sz w:val="28"/>
          <w:szCs w:val="28"/>
          <w:highlight w:val="none"/>
        </w:rPr>
        <w:t>工作。</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编制依据的</w:t>
      </w:r>
      <w:r>
        <w:rPr>
          <w:rFonts w:hint="eastAsia" w:asciiTheme="minorEastAsia" w:hAnsiTheme="minorEastAsia" w:eastAsiaTheme="minorEastAsia" w:cstheme="minorEastAsia"/>
          <w:bCs/>
          <w:color w:val="auto"/>
          <w:spacing w:val="0"/>
          <w:sz w:val="28"/>
          <w:szCs w:val="28"/>
          <w:highlight w:val="none"/>
          <w:lang w:val="zh-CN"/>
        </w:rPr>
        <w:t>《</w:t>
      </w:r>
      <w:r>
        <w:rPr>
          <w:rFonts w:hint="eastAsia" w:asciiTheme="minorEastAsia" w:hAnsiTheme="minorEastAsia" w:eastAsiaTheme="minorEastAsia" w:cstheme="minorEastAsia"/>
          <w:color w:val="auto"/>
          <w:spacing w:val="0"/>
          <w:sz w:val="28"/>
          <w:szCs w:val="28"/>
          <w:highlight w:val="none"/>
        </w:rPr>
        <w:t>内蒙古自治区准格尔旗蒙盛新材料有限责任公司矿区高岭土矿资源储量核实报告</w:t>
      </w:r>
      <w:r>
        <w:rPr>
          <w:rFonts w:hint="eastAsia" w:asciiTheme="minorEastAsia" w:hAnsiTheme="minorEastAsia" w:eastAsiaTheme="minorEastAsia" w:cstheme="minorEastAsia"/>
          <w:bCs/>
          <w:color w:val="auto"/>
          <w:spacing w:val="0"/>
          <w:sz w:val="28"/>
          <w:szCs w:val="28"/>
          <w:highlight w:val="none"/>
          <w:lang w:val="zh-CN"/>
        </w:rPr>
        <w:t>》</w:t>
      </w:r>
      <w:r>
        <w:rPr>
          <w:rFonts w:hint="eastAsia" w:asciiTheme="minorEastAsia" w:hAnsiTheme="minorEastAsia" w:cstheme="minorEastAsia"/>
          <w:bCs/>
          <w:color w:val="auto"/>
          <w:spacing w:val="0"/>
          <w:sz w:val="28"/>
          <w:szCs w:val="28"/>
          <w:highlight w:val="none"/>
          <w:lang w:val="zh-CN"/>
        </w:rPr>
        <w:t>已通过评审备案，评审文号“</w:t>
      </w:r>
      <w:r>
        <w:rPr>
          <w:rFonts w:hint="eastAsia" w:asciiTheme="minorEastAsia" w:hAnsiTheme="minorEastAsia" w:eastAsiaTheme="minorEastAsia" w:cstheme="minorEastAsia"/>
          <w:color w:val="auto"/>
          <w:spacing w:val="0"/>
          <w:sz w:val="28"/>
          <w:szCs w:val="28"/>
          <w:highlight w:val="none"/>
        </w:rPr>
        <w:t>鄂自然资储评字〔2024〕3号</w:t>
      </w:r>
      <w:r>
        <w:rPr>
          <w:rFonts w:hint="eastAsia" w:asciiTheme="minorEastAsia" w:hAnsiTheme="minorEastAsia" w:cstheme="minorEastAsia"/>
          <w:bCs/>
          <w:color w:val="auto"/>
          <w:spacing w:val="0"/>
          <w:sz w:val="28"/>
          <w:szCs w:val="28"/>
          <w:highlight w:val="none"/>
          <w:lang w:val="zh-CN"/>
        </w:rPr>
        <w:t>”</w:t>
      </w:r>
      <w:r>
        <w:rPr>
          <w:rFonts w:hint="eastAsia" w:asciiTheme="minorEastAsia" w:hAnsiTheme="minorEastAsia" w:cstheme="minorEastAsia"/>
          <w:color w:val="auto"/>
          <w:spacing w:val="0"/>
          <w:sz w:val="28"/>
          <w:szCs w:val="28"/>
          <w:highlight w:val="none"/>
          <w:lang w:eastAsia="zh-CN"/>
        </w:rPr>
        <w:t>，备案文号“</w:t>
      </w:r>
      <w:r>
        <w:rPr>
          <w:rFonts w:hint="eastAsia" w:asciiTheme="minorEastAsia" w:hAnsiTheme="minorEastAsia" w:eastAsiaTheme="minorEastAsia" w:cstheme="minorEastAsia"/>
          <w:color w:val="auto"/>
          <w:spacing w:val="0"/>
          <w:sz w:val="28"/>
          <w:szCs w:val="28"/>
          <w:highlight w:val="none"/>
        </w:rPr>
        <w:t>鄂自然资储备字〔2024〕8号</w:t>
      </w:r>
      <w:r>
        <w:rPr>
          <w:rFonts w:hint="eastAsia" w:asciiTheme="minorEastAsia" w:hAnsi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lang w:val="zh-CN"/>
        </w:rPr>
        <w:t>。</w:t>
      </w:r>
      <w:r>
        <w:rPr>
          <w:rFonts w:hint="eastAsia" w:asciiTheme="minorEastAsia" w:hAnsiTheme="minorEastAsia" w:eastAsiaTheme="minorEastAsia" w:cstheme="minorEastAsia"/>
          <w:color w:val="auto"/>
          <w:spacing w:val="0"/>
          <w:sz w:val="28"/>
          <w:szCs w:val="28"/>
          <w:highlight w:val="none"/>
        </w:rPr>
        <w:t>地质工作程度达到勘探，可作为编制《准格尔旗蒙盛新材料有限责任公司高岭土矿矿产资源开发利用方案》的依据。</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color w:val="auto"/>
          <w:spacing w:val="0"/>
          <w:sz w:val="28"/>
          <w:szCs w:val="28"/>
          <w:highlight w:val="none"/>
          <w:lang w:val="en-US" w:eastAsia="zh-CN"/>
        </w:rPr>
      </w:pPr>
      <w:r>
        <w:rPr>
          <w:rFonts w:hint="eastAsia" w:asciiTheme="minorEastAsia" w:hAnsiTheme="minorEastAsia" w:eastAsiaTheme="minorEastAsia" w:cstheme="minorEastAsia"/>
          <w:color w:val="auto"/>
          <w:spacing w:val="0"/>
          <w:sz w:val="28"/>
          <w:szCs w:val="28"/>
          <w:highlight w:val="none"/>
        </w:rPr>
        <w:t>截止2023年11月30日，矿区内累计查明资源量5334.5万吨；其中探明资源量1062.5万吨；控制资源量1853.5万吨；推断资源量2418.5万吨；消耗资源量355.6万吨；保有资源量4978.9万吨</w:t>
      </w:r>
      <w:r>
        <w:rPr>
          <w:rFonts w:hint="eastAsia" w:asciiTheme="minorEastAsia" w:hAnsiTheme="minorEastAsia" w:eastAsia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lang w:val="en-US" w:eastAsia="zh-CN"/>
        </w:rPr>
        <w:t>其中硬质高岭土矿保有资源量4935.3万吨，硬质高岭土矿</w:t>
      </w:r>
      <w:r>
        <w:rPr>
          <w:rFonts w:hint="eastAsia" w:asciiTheme="minorEastAsia" w:hAnsiTheme="minorEastAsia" w:eastAsiaTheme="minorEastAsia" w:cstheme="minorEastAsia"/>
          <w:color w:val="auto"/>
          <w:spacing w:val="0"/>
          <w:sz w:val="28"/>
          <w:szCs w:val="28"/>
          <w:highlight w:val="none"/>
          <w:lang w:eastAsia="zh-CN"/>
        </w:rPr>
        <w:t>品位</w:t>
      </w:r>
      <w:r>
        <w:rPr>
          <w:rFonts w:hint="eastAsia" w:asciiTheme="minorEastAsia" w:hAnsiTheme="minorEastAsia" w:eastAsiaTheme="minorEastAsia" w:cstheme="minorEastAsia"/>
          <w:color w:val="auto"/>
          <w:spacing w:val="0"/>
          <w:sz w:val="28"/>
          <w:szCs w:val="28"/>
          <w:highlight w:val="none"/>
          <w:lang w:val="en-US" w:eastAsia="zh-CN"/>
        </w:rPr>
        <w:t>Al</w:t>
      </w:r>
      <w:r>
        <w:rPr>
          <w:rFonts w:hint="eastAsia" w:asciiTheme="minorEastAsia" w:hAnsiTheme="minorEastAsia" w:eastAsiaTheme="minorEastAsia" w:cstheme="minorEastAsia"/>
          <w:color w:val="auto"/>
          <w:spacing w:val="0"/>
          <w:sz w:val="28"/>
          <w:szCs w:val="28"/>
          <w:highlight w:val="none"/>
          <w:vertAlign w:val="subscript"/>
          <w:lang w:val="en-US" w:eastAsia="zh-CN"/>
        </w:rPr>
        <w:t>2</w:t>
      </w:r>
      <w:r>
        <w:rPr>
          <w:rFonts w:hint="eastAsia" w:asciiTheme="minorEastAsia" w:hAnsiTheme="minorEastAsia" w:eastAsiaTheme="minorEastAsia" w:cstheme="minorEastAsia"/>
          <w:color w:val="auto"/>
          <w:spacing w:val="0"/>
          <w:sz w:val="28"/>
          <w:szCs w:val="28"/>
          <w:highlight w:val="none"/>
          <w:lang w:val="en-US" w:eastAsia="zh-CN"/>
        </w:rPr>
        <w:t>O</w:t>
      </w:r>
      <w:r>
        <w:rPr>
          <w:rFonts w:hint="eastAsia" w:asciiTheme="minorEastAsia" w:hAnsiTheme="minorEastAsia" w:eastAsiaTheme="minorEastAsia" w:cstheme="minorEastAsia"/>
          <w:color w:val="auto"/>
          <w:spacing w:val="0"/>
          <w:sz w:val="28"/>
          <w:szCs w:val="28"/>
          <w:highlight w:val="none"/>
          <w:vertAlign w:val="subscript"/>
          <w:lang w:val="en-US" w:eastAsia="zh-CN"/>
        </w:rPr>
        <w:t>3</w:t>
      </w:r>
      <w:r>
        <w:rPr>
          <w:rFonts w:hint="eastAsia" w:asciiTheme="minorEastAsia" w:hAnsiTheme="minorEastAsia" w:cstheme="minorEastAsia"/>
          <w:color w:val="auto"/>
          <w:spacing w:val="0"/>
          <w:sz w:val="28"/>
          <w:szCs w:val="28"/>
          <w:highlight w:val="none"/>
          <w:lang w:val="en-US" w:eastAsia="zh-CN"/>
        </w:rPr>
        <w:t xml:space="preserve"> </w:t>
      </w:r>
      <w:r>
        <w:rPr>
          <w:rFonts w:hint="eastAsia" w:asciiTheme="minorEastAsia" w:hAnsiTheme="minorEastAsia" w:eastAsiaTheme="minorEastAsia" w:cstheme="minorEastAsia"/>
          <w:color w:val="auto"/>
          <w:spacing w:val="0"/>
          <w:sz w:val="28"/>
          <w:szCs w:val="28"/>
          <w:highlight w:val="none"/>
          <w:lang w:val="en-US" w:eastAsia="zh-CN"/>
        </w:rPr>
        <w:t>37.65%，软质高岭土矿保有资源量43.6万吨，</w:t>
      </w:r>
      <w:r>
        <w:rPr>
          <w:rFonts w:hint="eastAsia" w:asciiTheme="minorEastAsia" w:hAnsiTheme="minorEastAsia" w:eastAsiaTheme="minorEastAsia" w:cstheme="minorEastAsia"/>
          <w:color w:val="auto"/>
          <w:spacing w:val="0"/>
          <w:sz w:val="28"/>
          <w:szCs w:val="28"/>
          <w:highlight w:val="none"/>
          <w:lang w:eastAsia="zh-CN"/>
        </w:rPr>
        <w:t>软质高岭土矿品位</w:t>
      </w:r>
      <w:r>
        <w:rPr>
          <w:rFonts w:hint="eastAsia" w:asciiTheme="minorEastAsia" w:hAnsiTheme="minorEastAsia" w:eastAsiaTheme="minorEastAsia" w:cstheme="minorEastAsia"/>
          <w:color w:val="auto"/>
          <w:spacing w:val="0"/>
          <w:sz w:val="28"/>
          <w:szCs w:val="28"/>
          <w:highlight w:val="none"/>
          <w:lang w:val="en-US" w:eastAsia="zh-CN"/>
        </w:rPr>
        <w:t>Al</w:t>
      </w:r>
      <w:r>
        <w:rPr>
          <w:rFonts w:hint="eastAsia" w:asciiTheme="minorEastAsia" w:hAnsiTheme="minorEastAsia" w:eastAsiaTheme="minorEastAsia" w:cstheme="minorEastAsia"/>
          <w:color w:val="auto"/>
          <w:spacing w:val="0"/>
          <w:sz w:val="28"/>
          <w:szCs w:val="28"/>
          <w:highlight w:val="none"/>
          <w:vertAlign w:val="subscript"/>
          <w:lang w:val="en-US" w:eastAsia="zh-CN"/>
        </w:rPr>
        <w:t>2</w:t>
      </w:r>
      <w:r>
        <w:rPr>
          <w:rFonts w:hint="eastAsia" w:asciiTheme="minorEastAsia" w:hAnsiTheme="minorEastAsia" w:eastAsiaTheme="minorEastAsia" w:cstheme="minorEastAsia"/>
          <w:color w:val="auto"/>
          <w:spacing w:val="0"/>
          <w:sz w:val="28"/>
          <w:szCs w:val="28"/>
          <w:highlight w:val="none"/>
          <w:lang w:val="en-US" w:eastAsia="zh-CN"/>
        </w:rPr>
        <w:t>O</w:t>
      </w:r>
      <w:r>
        <w:rPr>
          <w:rFonts w:hint="eastAsia" w:asciiTheme="minorEastAsia" w:hAnsiTheme="minorEastAsia" w:eastAsiaTheme="minorEastAsia" w:cstheme="minorEastAsia"/>
          <w:color w:val="auto"/>
          <w:spacing w:val="0"/>
          <w:sz w:val="28"/>
          <w:szCs w:val="28"/>
          <w:highlight w:val="none"/>
          <w:vertAlign w:val="subscript"/>
          <w:lang w:val="en-US" w:eastAsia="zh-CN"/>
        </w:rPr>
        <w:t>3</w:t>
      </w:r>
      <w:r>
        <w:rPr>
          <w:rFonts w:hint="eastAsia" w:asciiTheme="minorEastAsia" w:hAnsiTheme="minorEastAsia" w:cstheme="minorEastAsia"/>
          <w:color w:val="auto"/>
          <w:spacing w:val="0"/>
          <w:sz w:val="28"/>
          <w:szCs w:val="28"/>
          <w:highlight w:val="none"/>
          <w:lang w:val="en-US" w:eastAsia="zh-CN"/>
        </w:rPr>
        <w:t xml:space="preserve"> </w:t>
      </w:r>
      <w:r>
        <w:rPr>
          <w:rFonts w:hint="eastAsia" w:asciiTheme="minorEastAsia" w:hAnsiTheme="minorEastAsia" w:eastAsiaTheme="minorEastAsia" w:cstheme="minorEastAsia"/>
          <w:color w:val="auto"/>
          <w:spacing w:val="0"/>
          <w:sz w:val="28"/>
          <w:szCs w:val="28"/>
          <w:highlight w:val="none"/>
          <w:lang w:eastAsia="zh-CN"/>
        </w:rPr>
        <w:t>38.38</w:t>
      </w:r>
      <w:r>
        <w:rPr>
          <w:rFonts w:hint="eastAsia" w:asciiTheme="minorEastAsia" w:hAnsiTheme="minorEastAsia" w:eastAsiaTheme="minorEastAsia" w:cstheme="minorEastAsia"/>
          <w:color w:val="auto"/>
          <w:spacing w:val="0"/>
          <w:sz w:val="28"/>
          <w:szCs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bCs/>
          <w:color w:val="auto"/>
          <w:spacing w:val="0"/>
          <w:sz w:val="28"/>
          <w:szCs w:val="28"/>
          <w:highlight w:val="none"/>
        </w:rPr>
      </w:pPr>
      <w:r>
        <w:rPr>
          <w:rFonts w:hint="eastAsia" w:asciiTheme="minorEastAsia" w:hAnsiTheme="minorEastAsia" w:eastAsiaTheme="minorEastAsia" w:cstheme="minorEastAsia"/>
          <w:bCs/>
          <w:color w:val="auto"/>
          <w:spacing w:val="0"/>
          <w:sz w:val="28"/>
          <w:szCs w:val="28"/>
          <w:highlight w:val="none"/>
        </w:rPr>
        <w:t>《开发方案》采用资源量矿石量4474.5万吨，</w:t>
      </w:r>
      <w:r>
        <w:rPr>
          <w:rFonts w:hint="eastAsia" w:asciiTheme="minorEastAsia" w:hAnsiTheme="minorEastAsia" w:eastAsiaTheme="minorEastAsia" w:cstheme="minorEastAsia"/>
          <w:color w:val="auto"/>
          <w:spacing w:val="0"/>
          <w:sz w:val="28"/>
          <w:szCs w:val="28"/>
          <w:highlight w:val="none"/>
        </w:rPr>
        <w:t>品位</w:t>
      </w:r>
      <w:r>
        <w:rPr>
          <w:rFonts w:hint="eastAsia" w:asciiTheme="minorEastAsia" w:hAnsiTheme="minorEastAsia" w:eastAsiaTheme="minorEastAsia" w:cstheme="minorEastAsia"/>
          <w:color w:val="auto"/>
          <w:spacing w:val="0"/>
          <w:sz w:val="28"/>
          <w:szCs w:val="28"/>
          <w:highlight w:val="none"/>
          <w:lang w:val="en-US" w:eastAsia="zh-CN"/>
        </w:rPr>
        <w:t>Al</w:t>
      </w:r>
      <w:r>
        <w:rPr>
          <w:rFonts w:hint="eastAsia" w:asciiTheme="minorEastAsia" w:hAnsiTheme="minorEastAsia" w:eastAsiaTheme="minorEastAsia" w:cstheme="minorEastAsia"/>
          <w:color w:val="auto"/>
          <w:spacing w:val="0"/>
          <w:sz w:val="28"/>
          <w:szCs w:val="28"/>
          <w:highlight w:val="none"/>
          <w:vertAlign w:val="subscript"/>
          <w:lang w:val="en-US" w:eastAsia="zh-CN"/>
        </w:rPr>
        <w:t>2</w:t>
      </w:r>
      <w:r>
        <w:rPr>
          <w:rFonts w:hint="eastAsia" w:asciiTheme="minorEastAsia" w:hAnsiTheme="minorEastAsia" w:eastAsiaTheme="minorEastAsia" w:cstheme="minorEastAsia"/>
          <w:color w:val="auto"/>
          <w:spacing w:val="0"/>
          <w:sz w:val="28"/>
          <w:szCs w:val="28"/>
          <w:highlight w:val="none"/>
          <w:lang w:val="en-US" w:eastAsia="zh-CN"/>
        </w:rPr>
        <w:t>O</w:t>
      </w:r>
      <w:r>
        <w:rPr>
          <w:rFonts w:hint="eastAsia" w:asciiTheme="minorEastAsia" w:hAnsiTheme="minorEastAsia" w:eastAsiaTheme="minorEastAsia" w:cstheme="minorEastAsia"/>
          <w:color w:val="auto"/>
          <w:spacing w:val="0"/>
          <w:sz w:val="28"/>
          <w:szCs w:val="28"/>
          <w:highlight w:val="none"/>
          <w:vertAlign w:val="subscript"/>
          <w:lang w:val="en-US" w:eastAsia="zh-CN"/>
        </w:rPr>
        <w:t>3</w:t>
      </w:r>
      <w:r>
        <w:rPr>
          <w:rFonts w:hint="eastAsia" w:asciiTheme="minorEastAsia" w:hAnsiTheme="minorEastAsia" w:cstheme="minorEastAsia"/>
          <w:color w:val="auto"/>
          <w:spacing w:val="0"/>
          <w:sz w:val="28"/>
          <w:szCs w:val="28"/>
          <w:highlight w:val="none"/>
          <w:lang w:val="en-US" w:eastAsia="zh-CN"/>
        </w:rPr>
        <w:t xml:space="preserve"> </w:t>
      </w:r>
      <w:r>
        <w:rPr>
          <w:rFonts w:hint="eastAsia" w:asciiTheme="minorEastAsia" w:hAnsiTheme="minorEastAsia" w:eastAsiaTheme="minorEastAsia" w:cstheme="minorEastAsia"/>
          <w:color w:val="auto"/>
          <w:spacing w:val="0"/>
          <w:sz w:val="28"/>
          <w:szCs w:val="28"/>
          <w:highlight w:val="none"/>
          <w:lang w:val="en-US" w:eastAsia="zh-CN"/>
        </w:rPr>
        <w:t>37.6</w:t>
      </w:r>
      <w:r>
        <w:rPr>
          <w:rFonts w:hint="eastAsia" w:asciiTheme="minorEastAsia" w:hAnsiTheme="minorEastAsia" w:cstheme="minorEastAsia"/>
          <w:color w:val="auto"/>
          <w:spacing w:val="0"/>
          <w:sz w:val="28"/>
          <w:szCs w:val="28"/>
          <w:highlight w:val="none"/>
          <w:lang w:val="en-US" w:eastAsia="zh-CN"/>
        </w:rPr>
        <w:t>6</w:t>
      </w:r>
      <w:r>
        <w:rPr>
          <w:rFonts w:hint="eastAsia" w:asciiTheme="minorEastAsia" w:hAnsiTheme="minorEastAsia" w:eastAsiaTheme="minorEastAsia" w:cstheme="minorEastAsia"/>
          <w:color w:val="auto"/>
          <w:spacing w:val="0"/>
          <w:sz w:val="28"/>
          <w:szCs w:val="28"/>
          <w:highlight w:val="none"/>
          <w:lang w:val="en-US" w:eastAsia="zh-CN"/>
        </w:rPr>
        <w:t>%</w:t>
      </w:r>
      <w:r>
        <w:rPr>
          <w:rFonts w:hint="eastAsia" w:asciiTheme="minorEastAsia" w:hAnsiTheme="minorEastAsia" w:eastAsia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《开发方案》推荐回采率9</w:t>
      </w:r>
      <w:r>
        <w:rPr>
          <w:rFonts w:hint="eastAsia" w:asciiTheme="minorEastAsia" w:hAnsiTheme="minorEastAsia" w:eastAsiaTheme="minorEastAsia" w:cstheme="minorEastAsia"/>
          <w:color w:val="auto"/>
          <w:spacing w:val="0"/>
          <w:sz w:val="28"/>
          <w:szCs w:val="28"/>
          <w:highlight w:val="none"/>
          <w:lang w:val="en-US" w:eastAsia="zh-CN"/>
        </w:rPr>
        <w:t>5</w:t>
      </w:r>
      <w:r>
        <w:rPr>
          <w:rFonts w:hint="eastAsia" w:asciiTheme="minorEastAsia" w:hAnsiTheme="minorEastAsia" w:eastAsiaTheme="minorEastAsia" w:cstheme="minorEastAsia"/>
          <w:color w:val="auto"/>
          <w:spacing w:val="0"/>
          <w:sz w:val="28"/>
          <w:szCs w:val="28"/>
          <w:highlight w:val="none"/>
        </w:rPr>
        <w:t>.00%，则设计</w:t>
      </w:r>
      <w:r>
        <w:rPr>
          <w:rFonts w:hint="eastAsia" w:asciiTheme="minorEastAsia" w:hAnsiTheme="minorEastAsia" w:eastAsiaTheme="minorEastAsia" w:cstheme="minorEastAsia"/>
          <w:bCs/>
          <w:color w:val="auto"/>
          <w:spacing w:val="0"/>
          <w:sz w:val="28"/>
          <w:szCs w:val="28"/>
          <w:highlight w:val="none"/>
        </w:rPr>
        <w:t>可采资源量为4250.8万吨，</w:t>
      </w:r>
      <w:r>
        <w:rPr>
          <w:rFonts w:hint="eastAsia" w:asciiTheme="minorEastAsia" w:hAnsiTheme="minorEastAsia" w:eastAsiaTheme="minorEastAsia" w:cstheme="minorEastAsia"/>
          <w:color w:val="auto"/>
          <w:spacing w:val="0"/>
          <w:sz w:val="28"/>
          <w:szCs w:val="28"/>
          <w:highlight w:val="none"/>
        </w:rPr>
        <w:t>品位</w:t>
      </w:r>
      <w:r>
        <w:rPr>
          <w:rFonts w:hint="eastAsia" w:asciiTheme="minorEastAsia" w:hAnsiTheme="minorEastAsia" w:eastAsiaTheme="minorEastAsia" w:cstheme="minorEastAsia"/>
          <w:color w:val="auto"/>
          <w:spacing w:val="0"/>
          <w:sz w:val="28"/>
          <w:szCs w:val="28"/>
          <w:highlight w:val="none"/>
          <w:lang w:val="en-US" w:eastAsia="zh-CN"/>
        </w:rPr>
        <w:t>Al</w:t>
      </w:r>
      <w:r>
        <w:rPr>
          <w:rFonts w:hint="eastAsia" w:asciiTheme="minorEastAsia" w:hAnsiTheme="minorEastAsia" w:eastAsiaTheme="minorEastAsia" w:cstheme="minorEastAsia"/>
          <w:color w:val="auto"/>
          <w:spacing w:val="0"/>
          <w:sz w:val="28"/>
          <w:szCs w:val="28"/>
          <w:highlight w:val="none"/>
          <w:vertAlign w:val="subscript"/>
          <w:lang w:val="en-US" w:eastAsia="zh-CN"/>
        </w:rPr>
        <w:t>2</w:t>
      </w:r>
      <w:r>
        <w:rPr>
          <w:rFonts w:hint="eastAsia" w:asciiTheme="minorEastAsia" w:hAnsiTheme="minorEastAsia" w:eastAsiaTheme="minorEastAsia" w:cstheme="minorEastAsia"/>
          <w:color w:val="auto"/>
          <w:spacing w:val="0"/>
          <w:sz w:val="28"/>
          <w:szCs w:val="28"/>
          <w:highlight w:val="none"/>
          <w:lang w:val="en-US" w:eastAsia="zh-CN"/>
        </w:rPr>
        <w:t>O</w:t>
      </w:r>
      <w:r>
        <w:rPr>
          <w:rFonts w:hint="eastAsia" w:asciiTheme="minorEastAsia" w:hAnsiTheme="minorEastAsia" w:eastAsiaTheme="minorEastAsia" w:cstheme="minorEastAsia"/>
          <w:color w:val="auto"/>
          <w:spacing w:val="0"/>
          <w:sz w:val="28"/>
          <w:szCs w:val="28"/>
          <w:highlight w:val="none"/>
          <w:vertAlign w:val="subscript"/>
          <w:lang w:val="en-US" w:eastAsia="zh-CN"/>
        </w:rPr>
        <w:t>3</w:t>
      </w:r>
      <w:r>
        <w:rPr>
          <w:rFonts w:hint="eastAsia" w:asciiTheme="minorEastAsia" w:hAnsiTheme="minorEastAsia" w:cstheme="minorEastAsia"/>
          <w:color w:val="auto"/>
          <w:spacing w:val="0"/>
          <w:sz w:val="28"/>
          <w:szCs w:val="28"/>
          <w:highlight w:val="none"/>
          <w:lang w:val="en-US" w:eastAsia="zh-CN"/>
        </w:rPr>
        <w:t xml:space="preserve"> </w:t>
      </w:r>
      <w:r>
        <w:rPr>
          <w:rFonts w:hint="eastAsia" w:asciiTheme="minorEastAsia" w:hAnsiTheme="minorEastAsia" w:eastAsiaTheme="minorEastAsia" w:cstheme="minorEastAsia"/>
          <w:color w:val="auto"/>
          <w:spacing w:val="0"/>
          <w:sz w:val="28"/>
          <w:szCs w:val="28"/>
          <w:highlight w:val="none"/>
          <w:lang w:val="en-US" w:eastAsia="zh-CN"/>
        </w:rPr>
        <w:t>37.6</w:t>
      </w:r>
      <w:r>
        <w:rPr>
          <w:rFonts w:hint="eastAsia" w:asciiTheme="minorEastAsia" w:hAnsiTheme="minorEastAsia" w:cstheme="minorEastAsia"/>
          <w:color w:val="auto"/>
          <w:spacing w:val="0"/>
          <w:sz w:val="28"/>
          <w:szCs w:val="28"/>
          <w:highlight w:val="none"/>
          <w:lang w:val="en-US" w:eastAsia="zh-CN"/>
        </w:rPr>
        <w:t>6</w:t>
      </w:r>
      <w:r>
        <w:rPr>
          <w:rFonts w:hint="eastAsia" w:asciiTheme="minorEastAsia" w:hAnsiTheme="minorEastAsia" w:eastAsiaTheme="minorEastAsia" w:cstheme="minorEastAsia"/>
          <w:color w:val="auto"/>
          <w:spacing w:val="0"/>
          <w:sz w:val="28"/>
          <w:szCs w:val="28"/>
          <w:highlight w:val="none"/>
          <w:lang w:val="en-US" w:eastAsia="zh-CN"/>
        </w:rPr>
        <w:t>%</w:t>
      </w:r>
      <w:r>
        <w:rPr>
          <w:rFonts w:hint="eastAsia" w:asciiTheme="minorEastAsia" w:hAnsiTheme="minorEastAsia" w:eastAsiaTheme="minorEastAsia" w:cstheme="minorEastAsia"/>
          <w:color w:val="auto"/>
          <w:spacing w:val="0"/>
          <w:sz w:val="28"/>
          <w:szCs w:val="28"/>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矿产资源利用合理可行。</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b/>
          <w:bCs/>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2024年1</w:t>
      </w:r>
      <w:r>
        <w:rPr>
          <w:rFonts w:hint="eastAsia" w:asciiTheme="minorEastAsia" w:hAnsiTheme="minorEastAsia" w:cstheme="minorEastAsia"/>
          <w:color w:val="auto"/>
          <w:spacing w:val="0"/>
          <w:sz w:val="28"/>
          <w:szCs w:val="28"/>
          <w:highlight w:val="none"/>
          <w:lang w:val="en-US" w:eastAsia="zh-CN"/>
        </w:rPr>
        <w:t>1</w:t>
      </w:r>
      <w:r>
        <w:rPr>
          <w:rFonts w:hint="eastAsia" w:asciiTheme="minorEastAsia" w:hAnsiTheme="minorEastAsia" w:eastAsiaTheme="minorEastAsia" w:cstheme="minorEastAsia"/>
          <w:color w:val="auto"/>
          <w:spacing w:val="0"/>
          <w:sz w:val="28"/>
          <w:szCs w:val="28"/>
          <w:highlight w:val="none"/>
        </w:rPr>
        <w:t>月</w:t>
      </w:r>
      <w:r>
        <w:rPr>
          <w:rFonts w:hint="eastAsia" w:asciiTheme="minorEastAsia" w:hAnsiTheme="minorEastAsia" w:cstheme="minorEastAsia"/>
          <w:color w:val="auto"/>
          <w:spacing w:val="0"/>
          <w:sz w:val="28"/>
          <w:szCs w:val="28"/>
          <w:highlight w:val="none"/>
          <w:lang w:val="en-US" w:eastAsia="zh-CN"/>
        </w:rPr>
        <w:t>1</w:t>
      </w:r>
      <w:r>
        <w:rPr>
          <w:rFonts w:hint="eastAsia" w:asciiTheme="minorEastAsia" w:hAnsiTheme="minorEastAsia" w:eastAsiaTheme="minorEastAsia" w:cstheme="minorEastAsia"/>
          <w:color w:val="auto"/>
          <w:spacing w:val="0"/>
          <w:sz w:val="28"/>
          <w:szCs w:val="28"/>
          <w:highlight w:val="none"/>
        </w:rPr>
        <w:t>1日，鄂尔多斯市自然资源局为准格尔旗蒙盛新材料有限责任公司高岭土矿颁发的《采矿许可证》（证号为C15060020010127120096014），</w:t>
      </w:r>
      <w:r>
        <w:rPr>
          <w:rFonts w:hint="eastAsia" w:ascii="宋体" w:hAnsi="宋体" w:eastAsia="宋体" w:cs="宋体"/>
          <w:color w:val="auto"/>
          <w:spacing w:val="0"/>
          <w:sz w:val="28"/>
          <w:szCs w:val="28"/>
          <w:highlight w:val="none"/>
        </w:rPr>
        <w:t>采矿权人</w:t>
      </w:r>
      <w:r>
        <w:rPr>
          <w:rFonts w:hint="eastAsia" w:asciiTheme="minorEastAsia" w:hAnsiTheme="minorEastAsia" w:eastAsiaTheme="minorEastAsia" w:cstheme="minorEastAsia"/>
          <w:color w:val="auto"/>
          <w:spacing w:val="0"/>
          <w:sz w:val="28"/>
          <w:szCs w:val="28"/>
          <w:highlight w:val="none"/>
        </w:rPr>
        <w:t>为</w:t>
      </w:r>
      <w:bookmarkStart w:id="2" w:name="_Hlk197580693"/>
      <w:r>
        <w:rPr>
          <w:rFonts w:hint="eastAsia" w:asciiTheme="minorEastAsia" w:hAnsiTheme="minorEastAsia" w:eastAsiaTheme="minorEastAsia" w:cstheme="minorEastAsia"/>
          <w:color w:val="auto"/>
          <w:spacing w:val="0"/>
          <w:sz w:val="28"/>
          <w:szCs w:val="28"/>
          <w:highlight w:val="none"/>
        </w:rPr>
        <w:t>准格尔旗蒙盛新材料有限责任公司</w:t>
      </w:r>
      <w:bookmarkEnd w:id="2"/>
      <w:r>
        <w:rPr>
          <w:rFonts w:hint="eastAsia" w:asciiTheme="minorEastAsia" w:hAnsiTheme="minorEastAsia" w:eastAsiaTheme="minorEastAsia" w:cstheme="minorEastAsia"/>
          <w:color w:val="auto"/>
          <w:spacing w:val="0"/>
          <w:sz w:val="28"/>
          <w:szCs w:val="28"/>
          <w:highlight w:val="none"/>
        </w:rPr>
        <w:t>，开采矿种为高岭土，生产规模为10万吨/年，面积为7.7565km</w:t>
      </w:r>
      <w:r>
        <w:rPr>
          <w:rFonts w:hint="eastAsia" w:asciiTheme="minorEastAsia" w:hAnsiTheme="minorEastAsia" w:eastAsiaTheme="minorEastAsia" w:cstheme="minorEastAsia"/>
          <w:color w:val="auto"/>
          <w:spacing w:val="0"/>
          <w:sz w:val="28"/>
          <w:szCs w:val="28"/>
          <w:highlight w:val="none"/>
          <w:vertAlign w:val="superscript"/>
        </w:rPr>
        <w:t>2</w:t>
      </w:r>
      <w:r>
        <w:rPr>
          <w:rFonts w:hint="eastAsia" w:asciiTheme="minorEastAsia" w:hAnsiTheme="minorEastAsia" w:eastAsiaTheme="minorEastAsia" w:cstheme="minorEastAsia"/>
          <w:color w:val="auto"/>
          <w:spacing w:val="0"/>
          <w:sz w:val="28"/>
          <w:szCs w:val="28"/>
          <w:highlight w:val="none"/>
        </w:rPr>
        <w:t>，开采标高为1068～1060m，有效期限</w:t>
      </w:r>
      <w:r>
        <w:rPr>
          <w:rFonts w:hint="eastAsia" w:asciiTheme="minorEastAsia" w:hAnsiTheme="minorEastAsia" w:cstheme="minorEastAsia"/>
          <w:color w:val="auto"/>
          <w:spacing w:val="0"/>
          <w:sz w:val="28"/>
          <w:szCs w:val="28"/>
          <w:highlight w:val="none"/>
          <w:lang w:val="en-US" w:eastAsia="zh-CN"/>
        </w:rPr>
        <w:t>自</w:t>
      </w:r>
      <w:r>
        <w:rPr>
          <w:rFonts w:hint="eastAsia" w:asciiTheme="minorEastAsia" w:hAnsiTheme="minorEastAsia" w:eastAsiaTheme="minorEastAsia" w:cstheme="minorEastAsia"/>
          <w:color w:val="auto"/>
          <w:spacing w:val="0"/>
          <w:sz w:val="28"/>
          <w:szCs w:val="28"/>
          <w:highlight w:val="none"/>
        </w:rPr>
        <w:t>2024年10月22日至2025年4月21日，采矿权范围由9个拐点组成。</w:t>
      </w:r>
    </w:p>
    <w:p>
      <w:pPr>
        <w:keepNext w:val="0"/>
        <w:keepLines w:val="0"/>
        <w:pageBreakBefore w:val="0"/>
        <w:widowControl w:val="0"/>
        <w:kinsoku/>
        <w:wordWrap/>
        <w:overflowPunct/>
        <w:topLinePunct w:val="0"/>
        <w:autoSpaceDE/>
        <w:autoSpaceDN/>
        <w:bidi w:val="0"/>
        <w:adjustRightInd w:val="0"/>
        <w:snapToGrid w:val="0"/>
        <w:spacing w:line="554" w:lineRule="exact"/>
        <w:ind w:left="0" w:firstLine="560" w:firstLineChars="200"/>
        <w:textAlignment w:val="auto"/>
        <w:rPr>
          <w:rFonts w:hint="eastAsia" w:asciiTheme="minorEastAsia" w:hAnsiTheme="minorEastAsia" w:eastAsiaTheme="minorEastAsia" w:cstheme="minorEastAsia"/>
          <w:b w:val="0"/>
          <w:bCs w:val="0"/>
          <w:color w:val="auto"/>
          <w:spacing w:val="0"/>
          <w:sz w:val="24"/>
          <w:szCs w:val="24"/>
          <w:highlight w:val="none"/>
        </w:rPr>
      </w:pPr>
      <w:r>
        <w:rPr>
          <w:rFonts w:hint="eastAsia" w:asciiTheme="minorEastAsia" w:hAnsiTheme="minorEastAsia" w:eastAsiaTheme="minorEastAsia" w:cstheme="minorEastAsia"/>
          <w:bCs/>
          <w:color w:val="auto"/>
          <w:spacing w:val="0"/>
          <w:sz w:val="28"/>
          <w:szCs w:val="28"/>
          <w:highlight w:val="none"/>
        </w:rPr>
        <w:t>《开发方案》推荐申请采矿权平面范围与</w:t>
      </w:r>
      <w:r>
        <w:rPr>
          <w:rFonts w:hint="eastAsia" w:asciiTheme="minorEastAsia" w:hAnsiTheme="minorEastAsia" w:eastAsiaTheme="minorEastAsia" w:cstheme="minorEastAsia"/>
          <w:color w:val="auto"/>
          <w:spacing w:val="0"/>
          <w:sz w:val="28"/>
          <w:szCs w:val="28"/>
          <w:highlight w:val="none"/>
        </w:rPr>
        <w:t>在期采矿权平面范围一致</w:t>
      </w:r>
      <w:r>
        <w:rPr>
          <w:rFonts w:hint="eastAsia" w:asciiTheme="minorEastAsia" w:hAnsi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rPr>
        <w:t>面积仍为7.7565km</w:t>
      </w:r>
      <w:r>
        <w:rPr>
          <w:rFonts w:hint="eastAsia" w:asciiTheme="minorEastAsia" w:hAnsiTheme="minorEastAsia" w:eastAsiaTheme="minorEastAsia" w:cstheme="minorEastAsia"/>
          <w:color w:val="auto"/>
          <w:spacing w:val="0"/>
          <w:sz w:val="28"/>
          <w:szCs w:val="28"/>
          <w:highlight w:val="none"/>
          <w:vertAlign w:val="superscript"/>
        </w:rPr>
        <w:t>2</w:t>
      </w:r>
      <w:r>
        <w:rPr>
          <w:rFonts w:hint="eastAsia" w:asciiTheme="minorEastAsia" w:hAnsiTheme="minorEastAsia" w:eastAsiaTheme="minorEastAsia" w:cstheme="minorEastAsia"/>
          <w:color w:val="auto"/>
          <w:spacing w:val="0"/>
          <w:sz w:val="28"/>
          <w:szCs w:val="28"/>
          <w:highlight w:val="none"/>
        </w:rPr>
        <w:t>，矿区内赋矿标高为113</w:t>
      </w:r>
      <w:r>
        <w:rPr>
          <w:rFonts w:hint="eastAsia" w:asciiTheme="minorEastAsia" w:hAnsiTheme="minorEastAsia" w:cstheme="minorEastAsia"/>
          <w:color w:val="auto"/>
          <w:spacing w:val="0"/>
          <w:sz w:val="28"/>
          <w:szCs w:val="28"/>
          <w:highlight w:val="none"/>
          <w:lang w:val="en-US" w:eastAsia="zh-CN"/>
        </w:rPr>
        <w:t>5</w:t>
      </w:r>
      <w:r>
        <w:rPr>
          <w:rFonts w:hint="eastAsia" w:asciiTheme="minorEastAsia" w:hAnsiTheme="minorEastAsia" w:eastAsiaTheme="minorEastAsia" w:cstheme="minorEastAsia"/>
          <w:color w:val="auto"/>
          <w:spacing w:val="0"/>
          <w:sz w:val="28"/>
          <w:szCs w:val="28"/>
          <w:highlight w:val="none"/>
        </w:rPr>
        <w:t>～1033m，开采深度标高调整为113</w:t>
      </w:r>
      <w:r>
        <w:rPr>
          <w:rFonts w:hint="eastAsia" w:asciiTheme="minorEastAsia" w:hAnsiTheme="minorEastAsia" w:cstheme="minorEastAsia"/>
          <w:color w:val="auto"/>
          <w:spacing w:val="0"/>
          <w:sz w:val="28"/>
          <w:szCs w:val="28"/>
          <w:highlight w:val="none"/>
          <w:lang w:val="en-US" w:eastAsia="zh-CN"/>
        </w:rPr>
        <w:t>5</w:t>
      </w:r>
      <w:r>
        <w:rPr>
          <w:rFonts w:hint="eastAsia" w:asciiTheme="minorEastAsia" w:hAnsiTheme="minorEastAsia" w:eastAsiaTheme="minorEastAsia" w:cstheme="minorEastAsia"/>
          <w:color w:val="auto"/>
          <w:spacing w:val="0"/>
          <w:sz w:val="28"/>
          <w:szCs w:val="28"/>
          <w:highlight w:val="none"/>
        </w:rPr>
        <w:t>～1033m、开拓工程自1033m标高至地表，申请调整后采矿权范围拐点坐标见下表。</w:t>
      </w:r>
    </w:p>
    <w:p>
      <w:pPr>
        <w:keepNext w:val="0"/>
        <w:keepLines w:val="0"/>
        <w:pageBreakBefore w:val="0"/>
        <w:widowControl w:val="0"/>
        <w:kinsoku w:val="0"/>
        <w:wordWrap/>
        <w:overflowPunct w:val="0"/>
        <w:topLinePunct w:val="0"/>
        <w:autoSpaceDE w:val="0"/>
        <w:autoSpaceDN/>
        <w:bidi w:val="0"/>
        <w:spacing w:line="554" w:lineRule="exact"/>
        <w:jc w:val="center"/>
        <w:textAlignment w:val="auto"/>
        <w:rPr>
          <w:rFonts w:hint="eastAsia" w:asciiTheme="minorEastAsia" w:hAnsiTheme="minorEastAsia" w:eastAsiaTheme="minorEastAsia" w:cstheme="minorEastAsia"/>
          <w:b w:val="0"/>
          <w:bCs w:val="0"/>
          <w:color w:val="auto"/>
          <w:spacing w:val="0"/>
          <w:sz w:val="24"/>
          <w:szCs w:val="24"/>
          <w:highlight w:val="none"/>
        </w:rPr>
      </w:pPr>
      <w:r>
        <w:rPr>
          <w:rFonts w:hint="eastAsia" w:asciiTheme="minorEastAsia" w:hAnsiTheme="minorEastAsia" w:eastAsiaTheme="minorEastAsia" w:cstheme="minorEastAsia"/>
          <w:b w:val="0"/>
          <w:bCs w:val="0"/>
          <w:color w:val="auto"/>
          <w:spacing w:val="0"/>
          <w:sz w:val="24"/>
          <w:szCs w:val="24"/>
          <w:highlight w:val="none"/>
        </w:rPr>
        <w:t>矿权人确定申请采矿权矿区范围拐点坐标表</w:t>
      </w:r>
    </w:p>
    <w:tbl>
      <w:tblPr>
        <w:tblStyle w:val="1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7" w:type="dxa"/>
          <w:left w:w="57" w:type="dxa"/>
          <w:bottom w:w="17" w:type="dxa"/>
          <w:right w:w="57" w:type="dxa"/>
        </w:tblCellMar>
      </w:tblPr>
      <w:tblGrid>
        <w:gridCol w:w="741"/>
        <w:gridCol w:w="1798"/>
        <w:gridCol w:w="1940"/>
        <w:gridCol w:w="742"/>
        <w:gridCol w:w="1798"/>
        <w:gridCol w:w="19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tblHeader/>
          <w:jc w:val="center"/>
        </w:trPr>
        <w:tc>
          <w:tcPr>
            <w:tcW w:w="0" w:type="auto"/>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拐点</w:t>
            </w:r>
          </w:p>
          <w:p>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编号</w:t>
            </w:r>
          </w:p>
        </w:tc>
        <w:tc>
          <w:tcPr>
            <w:tcW w:w="0" w:type="auto"/>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2000国家大地坐标系</w:t>
            </w:r>
          </w:p>
        </w:tc>
        <w:tc>
          <w:tcPr>
            <w:tcW w:w="0" w:type="auto"/>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拐点</w:t>
            </w:r>
          </w:p>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编号</w:t>
            </w:r>
          </w:p>
        </w:tc>
        <w:tc>
          <w:tcPr>
            <w:tcW w:w="0" w:type="auto"/>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2000国家大地坐标系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tblHeader/>
          <w:jc w:val="center"/>
        </w:trPr>
        <w:tc>
          <w:tcPr>
            <w:tcW w:w="0" w:type="auto"/>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X</w:t>
            </w:r>
          </w:p>
        </w:tc>
        <w:tc>
          <w:tcPr>
            <w:tcW w:w="0" w:type="auto"/>
            <w:tcBorders>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Y</w:t>
            </w:r>
          </w:p>
        </w:tc>
        <w:tc>
          <w:tcPr>
            <w:tcW w:w="0" w:type="auto"/>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X</w:t>
            </w:r>
          </w:p>
        </w:tc>
        <w:tc>
          <w:tcPr>
            <w:tcW w:w="0" w:type="auto"/>
            <w:tcBorders>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center"/>
              <w:rPr>
                <w:color w:val="auto"/>
                <w:spacing w:val="0"/>
                <w:sz w:val="18"/>
                <w:szCs w:val="18"/>
                <w:highlight w:val="none"/>
              </w:rPr>
            </w:pPr>
            <w:r>
              <w:rPr>
                <w:rFonts w:hint="eastAsia" w:ascii="宋体" w:hAnsi="宋体" w:eastAsia="宋体" w:cs="宋体"/>
                <w:b w:val="0"/>
                <w:bCs w:val="0"/>
                <w:color w:val="auto"/>
                <w:spacing w:val="0"/>
                <w:kern w:val="0"/>
                <w:sz w:val="18"/>
                <w:szCs w:val="18"/>
                <w:highlight w:val="none"/>
                <w:lang w:bidi="ar"/>
              </w:rPr>
              <w: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jc w:val="center"/>
        </w:trPr>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1</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default" w:ascii="宋体" w:hAnsi="宋体" w:eastAsia="宋体" w:cs="宋体"/>
                <w:b w:val="0"/>
                <w:bCs w:val="0"/>
                <w:color w:val="auto"/>
                <w:spacing w:val="0"/>
                <w:kern w:val="0"/>
                <w:sz w:val="18"/>
                <w:szCs w:val="18"/>
                <w:highlight w:val="none"/>
                <w:lang w:val="en-US" w:eastAsia="zh-CN" w:bidi="ar"/>
              </w:rPr>
            </w:pPr>
            <w:r>
              <w:rPr>
                <w:rFonts w:hint="eastAsia" w:ascii="宋体" w:hAnsi="宋体" w:eastAsia="宋体" w:cs="宋体"/>
                <w:b w:val="0"/>
                <w:bCs w:val="0"/>
                <w:color w:val="auto"/>
                <w:spacing w:val="0"/>
                <w:kern w:val="0"/>
                <w:sz w:val="18"/>
                <w:szCs w:val="18"/>
                <w:highlight w:val="none"/>
                <w:lang w:bidi="ar"/>
              </w:rPr>
              <w:t>4421629.6</w:t>
            </w:r>
            <w:r>
              <w:rPr>
                <w:rFonts w:hint="eastAsia" w:ascii="宋体" w:hAnsi="宋体" w:eastAsia="宋体" w:cs="宋体"/>
                <w:b w:val="0"/>
                <w:bCs w:val="0"/>
                <w:color w:val="auto"/>
                <w:spacing w:val="0"/>
                <w:kern w:val="0"/>
                <w:sz w:val="18"/>
                <w:szCs w:val="18"/>
                <w:highlight w:val="none"/>
                <w:lang w:val="en-US" w:eastAsia="zh-CN" w:bidi="ar"/>
              </w:rPr>
              <w:t>672</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37532524.4</w:t>
            </w:r>
            <w:r>
              <w:rPr>
                <w:rFonts w:hint="eastAsia" w:ascii="宋体" w:hAnsi="宋体" w:eastAsia="宋体" w:cs="宋体"/>
                <w:b w:val="0"/>
                <w:bCs w:val="0"/>
                <w:color w:val="auto"/>
                <w:spacing w:val="0"/>
                <w:kern w:val="0"/>
                <w:sz w:val="18"/>
                <w:szCs w:val="18"/>
                <w:highlight w:val="none"/>
                <w:lang w:val="en-US" w:eastAsia="zh-CN" w:bidi="ar"/>
              </w:rPr>
              <w:t>367</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5</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val="en-US" w:eastAsia="zh-CN" w:bidi="ar"/>
              </w:rPr>
              <w:t>4422259.6669</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val="en-US" w:eastAsia="zh-CN" w:bidi="ar"/>
              </w:rPr>
              <w:t>37536293.4828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jc w:val="center"/>
        </w:trPr>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2</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default" w:ascii="宋体" w:hAnsi="宋体" w:eastAsia="宋体" w:cs="宋体"/>
                <w:b w:val="0"/>
                <w:bCs w:val="0"/>
                <w:color w:val="auto"/>
                <w:spacing w:val="0"/>
                <w:kern w:val="0"/>
                <w:sz w:val="18"/>
                <w:szCs w:val="18"/>
                <w:highlight w:val="none"/>
                <w:lang w:val="en-US" w:eastAsia="zh-CN" w:bidi="ar"/>
              </w:rPr>
            </w:pPr>
            <w:r>
              <w:rPr>
                <w:rFonts w:hint="eastAsia" w:ascii="宋体" w:hAnsi="宋体" w:eastAsia="宋体" w:cs="宋体"/>
                <w:b w:val="0"/>
                <w:bCs w:val="0"/>
                <w:color w:val="auto"/>
                <w:spacing w:val="0"/>
                <w:kern w:val="0"/>
                <w:sz w:val="18"/>
                <w:szCs w:val="18"/>
                <w:highlight w:val="none"/>
                <w:lang w:bidi="ar"/>
              </w:rPr>
              <w:t>4422959.6</w:t>
            </w:r>
            <w:r>
              <w:rPr>
                <w:rFonts w:hint="eastAsia" w:ascii="宋体" w:hAnsi="宋体" w:eastAsia="宋体" w:cs="宋体"/>
                <w:b w:val="0"/>
                <w:bCs w:val="0"/>
                <w:color w:val="auto"/>
                <w:spacing w:val="0"/>
                <w:kern w:val="0"/>
                <w:sz w:val="18"/>
                <w:szCs w:val="18"/>
                <w:highlight w:val="none"/>
                <w:lang w:val="en-US" w:eastAsia="zh-CN" w:bidi="ar"/>
              </w:rPr>
              <w:t>800</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default" w:ascii="宋体" w:hAnsi="宋体" w:eastAsia="宋体" w:cs="宋体"/>
                <w:b w:val="0"/>
                <w:bCs w:val="0"/>
                <w:color w:val="auto"/>
                <w:spacing w:val="0"/>
                <w:kern w:val="0"/>
                <w:sz w:val="18"/>
                <w:szCs w:val="18"/>
                <w:highlight w:val="none"/>
                <w:lang w:val="en-US" w:eastAsia="zh-CN" w:bidi="ar"/>
              </w:rPr>
            </w:pPr>
            <w:r>
              <w:rPr>
                <w:rFonts w:hint="eastAsia" w:ascii="宋体" w:hAnsi="宋体" w:eastAsia="宋体" w:cs="宋体"/>
                <w:b w:val="0"/>
                <w:bCs w:val="0"/>
                <w:color w:val="auto"/>
                <w:spacing w:val="0"/>
                <w:kern w:val="0"/>
                <w:sz w:val="18"/>
                <w:szCs w:val="18"/>
                <w:highlight w:val="none"/>
                <w:lang w:bidi="ar"/>
              </w:rPr>
              <w:t>37533044.4</w:t>
            </w:r>
            <w:r>
              <w:rPr>
                <w:rFonts w:hint="eastAsia" w:ascii="宋体" w:hAnsi="宋体" w:eastAsia="宋体" w:cs="宋体"/>
                <w:b w:val="0"/>
                <w:bCs w:val="0"/>
                <w:color w:val="auto"/>
                <w:spacing w:val="0"/>
                <w:kern w:val="0"/>
                <w:sz w:val="18"/>
                <w:szCs w:val="18"/>
                <w:highlight w:val="none"/>
                <w:lang w:val="en-US" w:eastAsia="zh-CN" w:bidi="ar"/>
              </w:rPr>
              <w:t>393</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6</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4420759.65</w:t>
            </w:r>
            <w:r>
              <w:rPr>
                <w:rFonts w:hint="eastAsia" w:ascii="宋体" w:hAnsi="宋体" w:eastAsia="宋体" w:cs="宋体"/>
                <w:b w:val="0"/>
                <w:bCs w:val="0"/>
                <w:color w:val="auto"/>
                <w:spacing w:val="0"/>
                <w:kern w:val="0"/>
                <w:sz w:val="18"/>
                <w:szCs w:val="18"/>
                <w:highlight w:val="none"/>
                <w:lang w:val="en-US" w:eastAsia="zh-CN" w:bidi="ar"/>
              </w:rPr>
              <w:t>40</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37535044.4</w:t>
            </w:r>
            <w:r>
              <w:rPr>
                <w:rFonts w:hint="eastAsia" w:ascii="宋体" w:hAnsi="宋体" w:eastAsia="宋体" w:cs="宋体"/>
                <w:b w:val="0"/>
                <w:bCs w:val="0"/>
                <w:color w:val="auto"/>
                <w:spacing w:val="0"/>
                <w:kern w:val="0"/>
                <w:sz w:val="18"/>
                <w:szCs w:val="18"/>
                <w:highlight w:val="none"/>
                <w:lang w:val="en-US" w:eastAsia="zh-CN" w:bidi="ar"/>
              </w:rPr>
              <w:t>564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jc w:val="center"/>
        </w:trPr>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4424459.6</w:t>
            </w:r>
            <w:r>
              <w:rPr>
                <w:rFonts w:hint="eastAsia" w:ascii="宋体" w:hAnsi="宋体" w:eastAsia="宋体" w:cs="宋体"/>
                <w:b w:val="0"/>
                <w:bCs w:val="0"/>
                <w:color w:val="auto"/>
                <w:spacing w:val="0"/>
                <w:kern w:val="0"/>
                <w:sz w:val="18"/>
                <w:szCs w:val="18"/>
                <w:highlight w:val="none"/>
                <w:lang w:val="en-US" w:eastAsia="zh-CN" w:bidi="ar"/>
              </w:rPr>
              <w:t>927</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37534544.4</w:t>
            </w:r>
            <w:r>
              <w:rPr>
                <w:rFonts w:hint="eastAsia" w:ascii="宋体" w:hAnsi="宋体" w:eastAsia="宋体" w:cs="宋体"/>
                <w:b w:val="0"/>
                <w:bCs w:val="0"/>
                <w:color w:val="auto"/>
                <w:spacing w:val="0"/>
                <w:kern w:val="0"/>
                <w:sz w:val="18"/>
                <w:szCs w:val="18"/>
                <w:highlight w:val="none"/>
                <w:lang w:val="en-US" w:eastAsia="zh-CN" w:bidi="ar"/>
              </w:rPr>
              <w:t>565</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7</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4421234.6</w:t>
            </w:r>
            <w:r>
              <w:rPr>
                <w:rFonts w:hint="eastAsia" w:ascii="宋体" w:hAnsi="宋体" w:eastAsia="宋体" w:cs="宋体"/>
                <w:b w:val="0"/>
                <w:bCs w:val="0"/>
                <w:color w:val="auto"/>
                <w:spacing w:val="0"/>
                <w:kern w:val="0"/>
                <w:sz w:val="18"/>
                <w:szCs w:val="18"/>
                <w:highlight w:val="none"/>
                <w:lang w:val="en-US" w:eastAsia="zh-CN" w:bidi="ar"/>
              </w:rPr>
              <w:t>657</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37533674.44</w:t>
            </w:r>
            <w:r>
              <w:rPr>
                <w:rFonts w:hint="eastAsia" w:ascii="宋体" w:hAnsi="宋体" w:eastAsia="宋体" w:cs="宋体"/>
                <w:b w:val="0"/>
                <w:bCs w:val="0"/>
                <w:color w:val="auto"/>
                <w:spacing w:val="0"/>
                <w:kern w:val="0"/>
                <w:sz w:val="18"/>
                <w:szCs w:val="18"/>
                <w:highlight w:val="none"/>
                <w:lang w:val="en-US" w:eastAsia="zh-CN" w:bidi="ar"/>
              </w:rPr>
              <w:t>12</w:t>
            </w:r>
            <w:r>
              <w:rPr>
                <w:rFonts w:hint="eastAsia" w:ascii="宋体" w:hAnsi="宋体" w:eastAsia="宋体" w:cs="宋体"/>
                <w:b w:val="0"/>
                <w:bCs w:val="0"/>
                <w:color w:val="auto"/>
                <w:spacing w:val="0"/>
                <w:kern w:val="0"/>
                <w:sz w:val="18"/>
                <w:szCs w:val="18"/>
                <w:highlight w:val="none"/>
                <w:lang w:bidi="ar"/>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2" w:hRule="atLeast"/>
          <w:jc w:val="center"/>
        </w:trPr>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4</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4423199.6</w:t>
            </w:r>
            <w:r>
              <w:rPr>
                <w:rFonts w:hint="eastAsia" w:ascii="宋体" w:hAnsi="宋体" w:eastAsia="宋体" w:cs="宋体"/>
                <w:b w:val="0"/>
                <w:bCs w:val="0"/>
                <w:color w:val="auto"/>
                <w:spacing w:val="0"/>
                <w:kern w:val="0"/>
                <w:sz w:val="18"/>
                <w:szCs w:val="18"/>
                <w:highlight w:val="none"/>
                <w:lang w:val="en-US" w:eastAsia="zh-CN" w:bidi="ar"/>
              </w:rPr>
              <w:t>794</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37535564.4</w:t>
            </w:r>
            <w:r>
              <w:rPr>
                <w:rFonts w:hint="eastAsia" w:ascii="宋体" w:hAnsi="宋体" w:eastAsia="宋体" w:cs="宋体"/>
                <w:b w:val="0"/>
                <w:bCs w:val="0"/>
                <w:color w:val="auto"/>
                <w:spacing w:val="0"/>
                <w:kern w:val="0"/>
                <w:sz w:val="18"/>
                <w:szCs w:val="18"/>
                <w:highlight w:val="none"/>
                <w:lang w:val="en-US" w:eastAsia="zh-CN" w:bidi="ar"/>
              </w:rPr>
              <w:t>701</w:t>
            </w:r>
            <w:r>
              <w:rPr>
                <w:rFonts w:hint="eastAsia" w:ascii="宋体" w:hAnsi="宋体" w:eastAsia="宋体" w:cs="宋体"/>
                <w:b w:val="0"/>
                <w:bCs w:val="0"/>
                <w:color w:val="auto"/>
                <w:spacing w:val="0"/>
                <w:kern w:val="0"/>
                <w:sz w:val="18"/>
                <w:szCs w:val="18"/>
                <w:highlight w:val="none"/>
                <w:lang w:bidi="ar"/>
              </w:rPr>
              <w:t xml:space="preserve"> </w:t>
            </w: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p>
        </w:tc>
        <w:tc>
          <w:tcPr>
            <w:tcW w:w="0" w:type="auto"/>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ascii="宋体" w:hAnsi="宋体" w:eastAsia="宋体" w:cs="宋体"/>
                <w:b w:val="0"/>
                <w:bCs w:val="0"/>
                <w:color w:val="auto"/>
                <w:spacing w:val="0"/>
                <w:kern w:val="0"/>
                <w:sz w:val="18"/>
                <w:szCs w:val="18"/>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9" w:hRule="atLeast"/>
          <w:jc w:val="center"/>
        </w:trPr>
        <w:tc>
          <w:tcPr>
            <w:tcW w:w="0" w:type="auto"/>
            <w:gridSpan w:val="6"/>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矿区面积：7.7565km</w:t>
            </w:r>
            <w:r>
              <w:rPr>
                <w:rFonts w:hint="eastAsia" w:ascii="宋体" w:hAnsi="宋体" w:eastAsia="宋体" w:cs="宋体"/>
                <w:b w:val="0"/>
                <w:bCs w:val="0"/>
                <w:color w:val="auto"/>
                <w:spacing w:val="0"/>
                <w:kern w:val="0"/>
                <w:sz w:val="18"/>
                <w:szCs w:val="18"/>
                <w:highlight w:val="none"/>
                <w:vertAlign w:val="superscript"/>
                <w:lang w:bidi="ar"/>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1" w:hRule="atLeast"/>
          <w:jc w:val="center"/>
        </w:trPr>
        <w:tc>
          <w:tcPr>
            <w:tcW w:w="0" w:type="auto"/>
            <w:gridSpan w:val="6"/>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eastAsia" w:ascii="宋体" w:hAnsi="宋体" w:eastAsia="宋体" w:cs="宋体"/>
                <w:b w:val="0"/>
                <w:bCs w:val="0"/>
                <w:color w:val="auto"/>
                <w:spacing w:val="0"/>
                <w:kern w:val="0"/>
                <w:sz w:val="18"/>
                <w:szCs w:val="18"/>
                <w:highlight w:val="none"/>
                <w:lang w:bidi="ar"/>
              </w:rPr>
            </w:pPr>
            <w:r>
              <w:rPr>
                <w:rFonts w:hint="eastAsia" w:ascii="宋体" w:hAnsi="宋体" w:eastAsia="宋体" w:cs="宋体"/>
                <w:b w:val="0"/>
                <w:bCs w:val="0"/>
                <w:color w:val="auto"/>
                <w:spacing w:val="0"/>
                <w:kern w:val="0"/>
                <w:sz w:val="18"/>
                <w:szCs w:val="18"/>
                <w:highlight w:val="none"/>
                <w:lang w:bidi="ar"/>
              </w:rPr>
              <w:t>开采标高为113</w:t>
            </w:r>
            <w:r>
              <w:rPr>
                <w:rFonts w:hint="eastAsia" w:ascii="宋体" w:hAnsi="宋体" w:eastAsia="宋体" w:cs="宋体"/>
                <w:b w:val="0"/>
                <w:bCs w:val="0"/>
                <w:color w:val="auto"/>
                <w:spacing w:val="0"/>
                <w:kern w:val="0"/>
                <w:sz w:val="18"/>
                <w:szCs w:val="18"/>
                <w:highlight w:val="none"/>
                <w:lang w:val="en-US" w:eastAsia="zh-CN" w:bidi="ar"/>
              </w:rPr>
              <w:t>5</w:t>
            </w:r>
            <w:r>
              <w:rPr>
                <w:rFonts w:hint="eastAsia" w:ascii="宋体" w:hAnsi="宋体" w:eastAsia="宋体" w:cs="宋体"/>
                <w:b w:val="0"/>
                <w:bCs w:val="0"/>
                <w:color w:val="auto"/>
                <w:spacing w:val="0"/>
                <w:kern w:val="0"/>
                <w:sz w:val="18"/>
                <w:szCs w:val="18"/>
                <w:highlight w:val="none"/>
                <w:lang w:bidi="ar"/>
              </w:rPr>
              <w:t>～1033m，露天剥离范围的立体空间区域自1033m至地表。</w:t>
            </w:r>
          </w:p>
        </w:tc>
      </w:tr>
    </w:tbl>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60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bCs/>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《开发方案》确定的开采矿种为高岭土</w:t>
      </w:r>
      <w:r>
        <w:rPr>
          <w:rFonts w:hint="eastAsia" w:asciiTheme="minorEastAsia" w:hAnsiTheme="minorEastAsia" w:eastAsiaTheme="minorEastAsia" w:cstheme="minorEastAsia"/>
          <w:bCs/>
          <w:color w:val="auto"/>
          <w:spacing w:val="0"/>
          <w:sz w:val="28"/>
          <w:szCs w:val="28"/>
          <w:highlight w:val="none"/>
        </w:rPr>
        <w:t>。</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bCs/>
          <w:color w:val="auto"/>
          <w:spacing w:val="0"/>
          <w:sz w:val="28"/>
          <w:szCs w:val="28"/>
          <w:highlight w:val="none"/>
        </w:rPr>
      </w:pPr>
      <w:r>
        <w:rPr>
          <w:rFonts w:hint="eastAsia" w:asciiTheme="minorEastAsia" w:hAnsiTheme="minorEastAsia" w:eastAsiaTheme="minorEastAsia" w:cstheme="minorEastAsia"/>
          <w:bCs/>
          <w:color w:val="auto"/>
          <w:spacing w:val="0"/>
          <w:sz w:val="28"/>
          <w:szCs w:val="28"/>
          <w:highlight w:val="none"/>
        </w:rPr>
        <w:t>矿区内共圈定了4层高岭土矿体，按照矿体在空间上自上而下的分布规律依次编号为Ⅰ、Ⅱ、Ⅲ、Ⅳ</w:t>
      </w:r>
      <w:r>
        <w:rPr>
          <w:rFonts w:hint="eastAsia" w:asciiTheme="minorEastAsia" w:hAnsiTheme="minorEastAsia" w:cstheme="minorEastAsia"/>
          <w:bCs/>
          <w:color w:val="auto"/>
          <w:spacing w:val="0"/>
          <w:sz w:val="28"/>
          <w:szCs w:val="28"/>
          <w:highlight w:val="none"/>
          <w:lang w:eastAsia="zh-CN"/>
        </w:rPr>
        <w:t>。</w:t>
      </w:r>
      <w:r>
        <w:rPr>
          <w:rFonts w:hint="eastAsia" w:asciiTheme="minorEastAsia" w:hAnsiTheme="minorEastAsia" w:eastAsiaTheme="minorEastAsia" w:cstheme="minorEastAsia"/>
          <w:bCs/>
          <w:color w:val="auto"/>
          <w:spacing w:val="0"/>
          <w:sz w:val="28"/>
          <w:szCs w:val="28"/>
          <w:highlight w:val="none"/>
        </w:rPr>
        <w:t>Ⅰ、Ⅱ、Ⅳ号矿体为灰白、深灰、灰褐色硬质高岭土矿，Ⅲ号矿体为紫褐、土灰色软质高岭土夹灰褐色薄层软质高岭土矿</w:t>
      </w:r>
      <w:r>
        <w:rPr>
          <w:rFonts w:hint="eastAsia" w:asciiTheme="minorEastAsia" w:hAnsiTheme="minorEastAsia" w:eastAsiaTheme="minorEastAsia" w:cstheme="minorEastAsia"/>
          <w:bCs/>
          <w:color w:val="auto"/>
          <w:spacing w:val="0"/>
          <w:sz w:val="28"/>
          <w:szCs w:val="28"/>
          <w:highlight w:val="none"/>
          <w:lang w:eastAsia="zh-CN"/>
        </w:rPr>
        <w:t>，</w:t>
      </w:r>
      <w:r>
        <w:rPr>
          <w:rFonts w:hint="eastAsia" w:asciiTheme="minorEastAsia" w:hAnsiTheme="minorEastAsia" w:eastAsiaTheme="minorEastAsia" w:cstheme="minorEastAsia"/>
          <w:bCs/>
          <w:color w:val="auto"/>
          <w:spacing w:val="0"/>
          <w:sz w:val="28"/>
          <w:szCs w:val="28"/>
          <w:highlight w:val="none"/>
        </w:rPr>
        <w:t>其中Ⅱ号高岭土矿层是主矿体。矿体为缓倾斜或近于水平产出的层状矿体。推荐采用露天开采方式、自上而下分台阶开采，台阶高度为10m、台阶坡面角</w:t>
      </w:r>
      <w:bookmarkStart w:id="3" w:name="_Hlk197581416"/>
      <w:r>
        <w:rPr>
          <w:rFonts w:hint="eastAsia" w:asciiTheme="minorEastAsia" w:hAnsiTheme="minorEastAsia" w:eastAsiaTheme="minorEastAsia" w:cstheme="minorEastAsia"/>
          <w:bCs/>
          <w:color w:val="auto"/>
          <w:spacing w:val="0"/>
          <w:sz w:val="28"/>
          <w:szCs w:val="28"/>
          <w:highlight w:val="none"/>
        </w:rPr>
        <w:t>45°</w:t>
      </w:r>
      <w:bookmarkEnd w:id="3"/>
      <w:r>
        <w:rPr>
          <w:rFonts w:hint="eastAsia" w:asciiTheme="minorEastAsia" w:hAnsiTheme="minorEastAsia" w:eastAsiaTheme="minorEastAsia" w:cstheme="minorEastAsia"/>
          <w:bCs/>
          <w:color w:val="auto"/>
          <w:spacing w:val="0"/>
          <w:sz w:val="28"/>
          <w:szCs w:val="28"/>
          <w:highlight w:val="none"/>
        </w:rPr>
        <w:t>、最终边坡角30～42°。</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bCs/>
          <w:color w:val="auto"/>
          <w:spacing w:val="0"/>
          <w:kern w:val="0"/>
          <w:sz w:val="28"/>
          <w:szCs w:val="28"/>
          <w:highlight w:val="none"/>
          <w:lang w:bidi="en-US"/>
        </w:rPr>
        <w:t>《开发方案》</w:t>
      </w:r>
      <w:r>
        <w:rPr>
          <w:rFonts w:hint="eastAsia" w:asciiTheme="minorEastAsia" w:hAnsiTheme="minorEastAsia" w:eastAsiaTheme="minorEastAsia" w:cstheme="minorEastAsia"/>
          <w:color w:val="auto"/>
          <w:spacing w:val="0"/>
          <w:sz w:val="28"/>
          <w:szCs w:val="28"/>
          <w:highlight w:val="none"/>
        </w:rPr>
        <w:t>推荐回采率95.00%、贫化率5%，平均出矿品位</w:t>
      </w:r>
      <w:r>
        <w:rPr>
          <w:rFonts w:hint="eastAsia" w:asciiTheme="minorEastAsia" w:hAnsiTheme="minorEastAsia" w:eastAsiaTheme="minorEastAsia" w:cstheme="minorEastAsia"/>
          <w:bCs/>
          <w:color w:val="auto"/>
          <w:spacing w:val="0"/>
          <w:sz w:val="28"/>
          <w:szCs w:val="28"/>
          <w:highlight w:val="none"/>
        </w:rPr>
        <w:t>Al</w:t>
      </w:r>
      <w:r>
        <w:rPr>
          <w:rFonts w:hint="eastAsia" w:asciiTheme="minorEastAsia" w:hAnsiTheme="minorEastAsia" w:eastAsiaTheme="minorEastAsia" w:cstheme="minorEastAsia"/>
          <w:bCs/>
          <w:color w:val="auto"/>
          <w:spacing w:val="0"/>
          <w:sz w:val="28"/>
          <w:szCs w:val="28"/>
          <w:highlight w:val="none"/>
          <w:vertAlign w:val="subscript"/>
        </w:rPr>
        <w:t>2</w:t>
      </w:r>
      <w:r>
        <w:rPr>
          <w:rFonts w:hint="eastAsia" w:asciiTheme="minorEastAsia" w:hAnsiTheme="minorEastAsia" w:eastAsiaTheme="minorEastAsia" w:cstheme="minorEastAsia"/>
          <w:bCs/>
          <w:color w:val="auto"/>
          <w:spacing w:val="0"/>
          <w:sz w:val="28"/>
          <w:szCs w:val="28"/>
          <w:highlight w:val="none"/>
        </w:rPr>
        <w:t>O</w:t>
      </w:r>
      <w:r>
        <w:rPr>
          <w:rFonts w:hint="eastAsia" w:asciiTheme="minorEastAsia" w:hAnsiTheme="minorEastAsia" w:eastAsiaTheme="minorEastAsia" w:cstheme="minorEastAsia"/>
          <w:bCs/>
          <w:color w:val="auto"/>
          <w:spacing w:val="0"/>
          <w:sz w:val="28"/>
          <w:szCs w:val="28"/>
          <w:highlight w:val="none"/>
          <w:vertAlign w:val="subscript"/>
        </w:rPr>
        <w:t>3</w:t>
      </w:r>
      <w:r>
        <w:rPr>
          <w:rFonts w:hint="eastAsia" w:asciiTheme="minorEastAsia" w:hAnsiTheme="minorEastAsia" w:eastAsiaTheme="minorEastAsia" w:cstheme="minorEastAsia"/>
          <w:bCs/>
          <w:color w:val="auto"/>
          <w:spacing w:val="0"/>
          <w:sz w:val="28"/>
          <w:szCs w:val="28"/>
          <w:highlight w:val="none"/>
        </w:rPr>
        <w:t xml:space="preserve"> 35.7</w:t>
      </w:r>
      <w:r>
        <w:rPr>
          <w:rFonts w:hint="eastAsia" w:asciiTheme="minorEastAsia" w:hAnsiTheme="minorEastAsia" w:cstheme="minorEastAsia"/>
          <w:bCs/>
          <w:color w:val="auto"/>
          <w:spacing w:val="0"/>
          <w:sz w:val="28"/>
          <w:szCs w:val="28"/>
          <w:highlight w:val="none"/>
          <w:lang w:val="en-US" w:eastAsia="zh-CN"/>
        </w:rPr>
        <w:t>8</w:t>
      </w:r>
      <w:r>
        <w:rPr>
          <w:rFonts w:hint="eastAsia" w:asciiTheme="minorEastAsia" w:hAnsiTheme="minorEastAsia" w:eastAsiaTheme="minorEastAsia" w:cstheme="minorEastAsia"/>
          <w:bCs/>
          <w:color w:val="auto"/>
          <w:spacing w:val="0"/>
          <w:sz w:val="28"/>
          <w:szCs w:val="28"/>
          <w:highlight w:val="none"/>
        </w:rPr>
        <w:t>%</w:t>
      </w:r>
      <w:r>
        <w:rPr>
          <w:rFonts w:hint="eastAsia" w:asciiTheme="minorEastAsia" w:hAnsiTheme="minorEastAsia" w:eastAsiaTheme="minorEastAsia" w:cstheme="minorEastAsia"/>
          <w:color w:val="auto"/>
          <w:spacing w:val="0"/>
          <w:sz w:val="28"/>
          <w:szCs w:val="28"/>
          <w:highlight w:val="none"/>
        </w:rPr>
        <w:t>。</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bCs/>
          <w:color w:val="auto"/>
          <w:spacing w:val="0"/>
          <w:sz w:val="28"/>
          <w:szCs w:val="28"/>
          <w:highlight w:val="none"/>
        </w:rPr>
        <w:t>推荐的矿山建设规模为采选矿石量100万吨/年，</w:t>
      </w:r>
      <w:r>
        <w:rPr>
          <w:rFonts w:hint="eastAsia" w:asciiTheme="minorEastAsia" w:hAnsiTheme="minorEastAsia" w:eastAsiaTheme="minorEastAsia" w:cstheme="minorEastAsia"/>
          <w:color w:val="auto"/>
          <w:spacing w:val="0"/>
          <w:sz w:val="28"/>
          <w:szCs w:val="28"/>
          <w:highlight w:val="none"/>
        </w:rPr>
        <w:t>矿山总服务年限约为4</w:t>
      </w:r>
      <w:r>
        <w:rPr>
          <w:rFonts w:hint="eastAsia" w:asciiTheme="minorEastAsia" w:hAnsiTheme="minorEastAsia" w:eastAsiaTheme="minorEastAsia" w:cstheme="minorEastAsia"/>
          <w:color w:val="auto"/>
          <w:spacing w:val="0"/>
          <w:sz w:val="28"/>
          <w:szCs w:val="28"/>
          <w:highlight w:val="none"/>
          <w:lang w:val="en-US" w:eastAsia="zh-CN"/>
        </w:rPr>
        <w:t>5</w:t>
      </w:r>
      <w:r>
        <w:rPr>
          <w:rFonts w:hint="eastAsia" w:asciiTheme="minorEastAsia" w:hAnsiTheme="minorEastAsia" w:eastAsiaTheme="minorEastAsia" w:cstheme="minorEastAsia"/>
          <w:color w:val="auto"/>
          <w:spacing w:val="0"/>
          <w:sz w:val="28"/>
          <w:szCs w:val="28"/>
          <w:highlight w:val="none"/>
        </w:rPr>
        <w:t>年。</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b/>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矿产资源开采方案基本合理。</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60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Theme="minorEastAsia" w:hAnsiTheme="minorEastAsia" w:eastAsiaTheme="minorEastAsia" w:cstheme="minorEastAsia"/>
          <w:bCs/>
          <w:color w:val="auto"/>
          <w:spacing w:val="0"/>
          <w:sz w:val="28"/>
          <w:szCs w:val="28"/>
          <w:highlight w:val="none"/>
        </w:rPr>
      </w:pPr>
      <w:r>
        <w:rPr>
          <w:rFonts w:hint="eastAsia" w:asciiTheme="minorEastAsia" w:hAnsiTheme="minorEastAsia" w:eastAsiaTheme="minorEastAsia" w:cstheme="minorEastAsia"/>
          <w:bCs/>
          <w:color w:val="auto"/>
          <w:spacing w:val="0"/>
          <w:sz w:val="28"/>
          <w:szCs w:val="28"/>
          <w:highlight w:val="none"/>
        </w:rPr>
        <w:t>该矿开采主矿种为高岭土，无共伴生有用矿产。《矿产资源“三率”指标要求</w:t>
      </w:r>
      <w:r>
        <w:rPr>
          <w:rFonts w:hint="eastAsia" w:asciiTheme="minorEastAsia" w:hAnsiTheme="minorEastAsia" w:cstheme="minorEastAsia"/>
          <w:bCs/>
          <w:color w:val="auto"/>
          <w:spacing w:val="0"/>
          <w:sz w:val="28"/>
          <w:szCs w:val="28"/>
          <w:highlight w:val="none"/>
          <w:lang w:val="en-US" w:eastAsia="zh-CN"/>
        </w:rPr>
        <w:t xml:space="preserve">  </w:t>
      </w:r>
      <w:r>
        <w:rPr>
          <w:rFonts w:hint="eastAsia" w:asciiTheme="minorEastAsia" w:hAnsiTheme="minorEastAsia" w:eastAsiaTheme="minorEastAsia" w:cstheme="minorEastAsia"/>
          <w:bCs/>
          <w:color w:val="auto"/>
          <w:spacing w:val="0"/>
          <w:sz w:val="28"/>
          <w:szCs w:val="28"/>
          <w:highlight w:val="none"/>
        </w:rPr>
        <w:t>第13部分：黏土类矿产》（DZ/T 0462.13-2024）中无高岭土矿综合利用率要求，该矿对Ⅱ号矿体中的11个夹石和矿体围岩提出了综合利用措施和办法。</w:t>
      </w:r>
    </w:p>
    <w:p>
      <w:pPr>
        <w:keepNext w:val="0"/>
        <w:keepLines w:val="0"/>
        <w:pageBreakBefore w:val="0"/>
        <w:widowControl w:val="0"/>
        <w:kinsoku/>
        <w:wordWrap/>
        <w:overflowPunct/>
        <w:topLinePunct w:val="0"/>
        <w:autoSpaceDE/>
        <w:autoSpaceDN/>
        <w:bidi w:val="0"/>
        <w:snapToGrid/>
        <w:spacing w:line="600" w:lineRule="exact"/>
        <w:ind w:left="0" w:leftChars="0" w:firstLine="560" w:firstLineChars="200"/>
        <w:textAlignment w:val="auto"/>
        <w:rPr>
          <w:rFonts w:hint="eastAsia" w:ascii="宋体" w:hAnsi="宋体"/>
          <w:bCs/>
          <w:color w:val="auto"/>
          <w:spacing w:val="0"/>
          <w:sz w:val="28"/>
          <w:szCs w:val="28"/>
          <w:highlight w:val="none"/>
        </w:rPr>
      </w:pPr>
      <w:r>
        <w:rPr>
          <w:rFonts w:hint="eastAsia" w:asciiTheme="minorEastAsia" w:hAnsiTheme="minorEastAsia" w:eastAsiaTheme="minorEastAsia" w:cstheme="minorEastAsia"/>
          <w:bCs/>
          <w:color w:val="auto"/>
          <w:spacing w:val="0"/>
          <w:sz w:val="28"/>
          <w:szCs w:val="28"/>
          <w:highlight w:val="none"/>
        </w:rPr>
        <w:t>《开发方案》推荐该矿选矿工艺流程为“捣浆</w:t>
      </w:r>
      <w:r>
        <w:rPr>
          <w:rFonts w:hint="eastAsia" w:asciiTheme="minorEastAsia" w:hAnsiTheme="minorEastAsia" w:cstheme="minorEastAsia"/>
          <w:bCs/>
          <w:color w:val="auto"/>
          <w:spacing w:val="0"/>
          <w:sz w:val="28"/>
          <w:szCs w:val="28"/>
          <w:highlight w:val="none"/>
          <w:lang w:eastAsia="zh-CN"/>
        </w:rPr>
        <w:t>—</w:t>
      </w:r>
      <w:r>
        <w:rPr>
          <w:rFonts w:hint="eastAsia" w:asciiTheme="minorEastAsia" w:hAnsiTheme="minorEastAsia" w:eastAsiaTheme="minorEastAsia" w:cstheme="minorEastAsia"/>
          <w:bCs/>
          <w:color w:val="auto"/>
          <w:spacing w:val="0"/>
          <w:sz w:val="28"/>
          <w:szCs w:val="28"/>
          <w:highlight w:val="none"/>
        </w:rPr>
        <w:t>水力旋流器分选</w:t>
      </w:r>
      <w:r>
        <w:rPr>
          <w:rFonts w:hint="eastAsia" w:asciiTheme="minorEastAsia" w:hAnsiTheme="minorEastAsia" w:cstheme="minorEastAsia"/>
          <w:bCs/>
          <w:color w:val="auto"/>
          <w:spacing w:val="0"/>
          <w:sz w:val="28"/>
          <w:szCs w:val="28"/>
          <w:highlight w:val="none"/>
          <w:lang w:eastAsia="zh-CN"/>
        </w:rPr>
        <w:t>—</w:t>
      </w:r>
      <w:r>
        <w:rPr>
          <w:rFonts w:hint="eastAsia" w:asciiTheme="minorEastAsia" w:hAnsiTheme="minorEastAsia" w:eastAsiaTheme="minorEastAsia" w:cstheme="minorEastAsia"/>
          <w:bCs/>
          <w:color w:val="auto"/>
          <w:spacing w:val="0"/>
          <w:sz w:val="28"/>
          <w:szCs w:val="28"/>
          <w:highlight w:val="none"/>
        </w:rPr>
        <w:t>高梯度强磁选联合提纯”，产品方案为高岭土精矿，高岭土精矿品位Al</w:t>
      </w:r>
      <w:r>
        <w:rPr>
          <w:rFonts w:hint="eastAsia" w:asciiTheme="minorEastAsia" w:hAnsiTheme="minorEastAsia" w:eastAsiaTheme="minorEastAsia" w:cstheme="minorEastAsia"/>
          <w:bCs/>
          <w:color w:val="auto"/>
          <w:spacing w:val="0"/>
          <w:sz w:val="28"/>
          <w:szCs w:val="28"/>
          <w:highlight w:val="none"/>
          <w:vertAlign w:val="subscript"/>
        </w:rPr>
        <w:t>2</w:t>
      </w:r>
      <w:r>
        <w:rPr>
          <w:rFonts w:hint="eastAsia" w:asciiTheme="minorEastAsia" w:hAnsiTheme="minorEastAsia" w:eastAsiaTheme="minorEastAsia" w:cstheme="minorEastAsia"/>
          <w:bCs/>
          <w:color w:val="auto"/>
          <w:spacing w:val="0"/>
          <w:sz w:val="28"/>
          <w:szCs w:val="28"/>
          <w:highlight w:val="none"/>
        </w:rPr>
        <w:t>O</w:t>
      </w:r>
      <w:r>
        <w:rPr>
          <w:rFonts w:hint="eastAsia" w:asciiTheme="minorEastAsia" w:hAnsiTheme="minorEastAsia" w:eastAsiaTheme="minorEastAsia" w:cstheme="minorEastAsia"/>
          <w:bCs/>
          <w:color w:val="auto"/>
          <w:spacing w:val="0"/>
          <w:sz w:val="28"/>
          <w:szCs w:val="28"/>
          <w:highlight w:val="none"/>
          <w:vertAlign w:val="subscript"/>
        </w:rPr>
        <w:t>3</w:t>
      </w:r>
      <w:r>
        <w:rPr>
          <w:rFonts w:hint="eastAsia" w:asciiTheme="minorEastAsia" w:hAnsiTheme="minorEastAsia" w:eastAsiaTheme="minorEastAsia" w:cstheme="minorEastAsia"/>
          <w:bCs/>
          <w:color w:val="auto"/>
          <w:spacing w:val="0"/>
          <w:sz w:val="28"/>
          <w:szCs w:val="28"/>
          <w:highlight w:val="none"/>
        </w:rPr>
        <w:t xml:space="preserve"> 37.0%，选矿回收率选取90.00%，精矿产率86.</w:t>
      </w:r>
      <w:r>
        <w:rPr>
          <w:rFonts w:hint="eastAsia" w:asciiTheme="minorEastAsia" w:hAnsiTheme="minorEastAsia" w:cstheme="minorEastAsia"/>
          <w:bCs/>
          <w:color w:val="auto"/>
          <w:spacing w:val="0"/>
          <w:sz w:val="28"/>
          <w:szCs w:val="28"/>
          <w:highlight w:val="none"/>
          <w:lang w:val="en-US" w:eastAsia="zh-CN"/>
        </w:rPr>
        <w:t>79</w:t>
      </w:r>
      <w:r>
        <w:rPr>
          <w:rFonts w:hint="eastAsia" w:asciiTheme="minorEastAsia" w:hAnsiTheme="minorEastAsia" w:eastAsiaTheme="minorEastAsia" w:cstheme="minorEastAsia"/>
          <w:bCs/>
          <w:color w:val="auto"/>
          <w:spacing w:val="0"/>
          <w:sz w:val="28"/>
          <w:szCs w:val="28"/>
          <w:highlight w:val="none"/>
        </w:rPr>
        <w:t>%，尾矿产率13.</w:t>
      </w:r>
      <w:r>
        <w:rPr>
          <w:rFonts w:hint="eastAsia" w:asciiTheme="minorEastAsia" w:hAnsiTheme="minorEastAsia" w:cstheme="minorEastAsia"/>
          <w:bCs/>
          <w:color w:val="auto"/>
          <w:spacing w:val="0"/>
          <w:sz w:val="28"/>
          <w:szCs w:val="28"/>
          <w:highlight w:val="none"/>
          <w:lang w:val="en-US" w:eastAsia="zh-CN"/>
        </w:rPr>
        <w:t>21</w:t>
      </w:r>
      <w:r>
        <w:rPr>
          <w:rFonts w:hint="eastAsia" w:asciiTheme="minorEastAsia" w:hAnsiTheme="minorEastAsia" w:eastAsiaTheme="minorEastAsia" w:cstheme="minorEastAsia"/>
          <w:bCs/>
          <w:color w:val="auto"/>
          <w:spacing w:val="0"/>
          <w:sz w:val="28"/>
          <w:szCs w:val="28"/>
          <w:highlight w:val="none"/>
        </w:rPr>
        <w:t>%</w:t>
      </w:r>
      <w:r>
        <w:rPr>
          <w:rFonts w:hint="eastAsia" w:ascii="宋体" w:hAnsi="宋体"/>
          <w:bCs/>
          <w:color w:val="auto"/>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pPr>
        <w:keepNext w:val="0"/>
        <w:keepLines w:val="0"/>
        <w:pageBreakBefore w:val="0"/>
        <w:widowControl w:val="0"/>
        <w:kinsoku/>
        <w:wordWrap/>
        <w:overflowPunct/>
        <w:topLinePunct w:val="0"/>
        <w:autoSpaceDE/>
        <w:autoSpaceDN/>
        <w:bidi w:val="0"/>
        <w:snapToGrid/>
        <w:spacing w:line="560" w:lineRule="exact"/>
        <w:ind w:left="0" w:leftChars="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《开发方案》推荐开采回采率95.00%，达到了</w:t>
      </w:r>
      <w:r>
        <w:rPr>
          <w:rFonts w:hint="eastAsia" w:asciiTheme="minorEastAsia" w:hAnsiTheme="minorEastAsia" w:eastAsiaTheme="minorEastAsia" w:cstheme="minorEastAsia"/>
          <w:bCs/>
          <w:color w:val="auto"/>
          <w:spacing w:val="0"/>
          <w:sz w:val="28"/>
          <w:szCs w:val="28"/>
          <w:highlight w:val="none"/>
        </w:rPr>
        <w:t xml:space="preserve">《矿产资源“三率”指标要求 </w:t>
      </w:r>
      <w:r>
        <w:rPr>
          <w:rFonts w:hint="eastAsia" w:asciiTheme="minorEastAsia" w:hAnsiTheme="minorEastAsia" w:cstheme="minorEastAsia"/>
          <w:bCs/>
          <w:color w:val="auto"/>
          <w:spacing w:val="0"/>
          <w:sz w:val="28"/>
          <w:szCs w:val="28"/>
          <w:highlight w:val="none"/>
          <w:lang w:val="en-US" w:eastAsia="zh-CN"/>
        </w:rPr>
        <w:t xml:space="preserve"> </w:t>
      </w:r>
      <w:r>
        <w:rPr>
          <w:rFonts w:hint="eastAsia" w:asciiTheme="minorEastAsia" w:hAnsiTheme="minorEastAsia" w:eastAsiaTheme="minorEastAsia" w:cstheme="minorEastAsia"/>
          <w:bCs/>
          <w:color w:val="auto"/>
          <w:spacing w:val="0"/>
          <w:sz w:val="28"/>
          <w:szCs w:val="28"/>
          <w:highlight w:val="none"/>
        </w:rPr>
        <w:t>第13部分：黏土类矿产》（DZ/T</w:t>
      </w:r>
      <w:r>
        <w:rPr>
          <w:rFonts w:hint="eastAsia" w:asciiTheme="minorEastAsia" w:hAnsiTheme="minorEastAsia" w:cstheme="minorEastAsia"/>
          <w:bCs/>
          <w:color w:val="auto"/>
          <w:spacing w:val="0"/>
          <w:sz w:val="28"/>
          <w:szCs w:val="28"/>
          <w:highlight w:val="none"/>
          <w:lang w:val="en-US" w:eastAsia="zh-CN"/>
        </w:rPr>
        <w:t xml:space="preserve"> </w:t>
      </w:r>
      <w:r>
        <w:rPr>
          <w:rFonts w:hint="eastAsia" w:asciiTheme="minorEastAsia" w:hAnsiTheme="minorEastAsia" w:eastAsiaTheme="minorEastAsia" w:cstheme="minorEastAsia"/>
          <w:bCs/>
          <w:color w:val="auto"/>
          <w:spacing w:val="0"/>
          <w:sz w:val="28"/>
          <w:szCs w:val="28"/>
          <w:highlight w:val="none"/>
        </w:rPr>
        <w:t>0462.13-2024）中领跑者指标“露天开采的高岭土矿，开采回采率不低于95%”的要求</w:t>
      </w:r>
      <w:r>
        <w:rPr>
          <w:rFonts w:hint="eastAsia" w:asciiTheme="minorEastAsia" w:hAnsiTheme="minorEastAsia" w:eastAsiaTheme="minorEastAsia" w:cstheme="minorEastAsia"/>
          <w:color w:val="auto"/>
          <w:spacing w:val="0"/>
          <w:sz w:val="28"/>
          <w:szCs w:val="28"/>
          <w:highlight w:val="none"/>
        </w:rPr>
        <w:t>。</w:t>
      </w:r>
    </w:p>
    <w:p>
      <w:pPr>
        <w:keepNext w:val="0"/>
        <w:keepLines w:val="0"/>
        <w:pageBreakBefore w:val="0"/>
        <w:widowControl w:val="0"/>
        <w:kinsoku/>
        <w:wordWrap/>
        <w:overflowPunct/>
        <w:topLinePunct w:val="0"/>
        <w:autoSpaceDE/>
        <w:autoSpaceDN/>
        <w:bidi w:val="0"/>
        <w:snapToGrid/>
        <w:spacing w:line="560" w:lineRule="exact"/>
        <w:ind w:left="0" w:leftChars="0" w:firstLine="560" w:firstLineChars="200"/>
        <w:textAlignment w:val="auto"/>
        <w:rPr>
          <w:rFonts w:hint="eastAsia" w:asciiTheme="minorEastAsia" w:hAnsiTheme="minorEastAsia" w:eastAsiaTheme="minorEastAsia" w:cstheme="minorEastAsia"/>
          <w:color w:val="auto"/>
          <w:spacing w:val="0"/>
          <w:sz w:val="28"/>
          <w:szCs w:val="28"/>
          <w:highlight w:val="none"/>
          <w:lang w:bidi="ar"/>
        </w:rPr>
      </w:pPr>
      <w:r>
        <w:rPr>
          <w:rFonts w:hint="eastAsia" w:asciiTheme="minorEastAsia" w:hAnsiTheme="minorEastAsia" w:eastAsiaTheme="minorEastAsia" w:cstheme="minorEastAsia"/>
          <w:color w:val="auto"/>
          <w:spacing w:val="0"/>
          <w:sz w:val="28"/>
          <w:szCs w:val="28"/>
          <w:highlight w:val="none"/>
          <w:lang w:bidi="ar"/>
        </w:rPr>
        <w:t>推荐选矿回收率90.00%，达到了《矿产资源“三率”指标要求</w:t>
      </w:r>
      <w:r>
        <w:rPr>
          <w:rFonts w:hint="eastAsia" w:asciiTheme="minorEastAsia" w:hAnsiTheme="minorEastAsia" w:cstheme="minorEastAsia"/>
          <w:color w:val="auto"/>
          <w:spacing w:val="0"/>
          <w:sz w:val="28"/>
          <w:szCs w:val="28"/>
          <w:highlight w:val="none"/>
          <w:lang w:val="en-US" w:eastAsia="zh-CN" w:bidi="ar"/>
        </w:rPr>
        <w:t xml:space="preserve">  </w:t>
      </w:r>
      <w:r>
        <w:rPr>
          <w:rFonts w:hint="eastAsia" w:asciiTheme="minorEastAsia" w:hAnsiTheme="minorEastAsia" w:eastAsiaTheme="minorEastAsia" w:cstheme="minorEastAsia"/>
          <w:color w:val="auto"/>
          <w:spacing w:val="0"/>
          <w:sz w:val="28"/>
          <w:szCs w:val="28"/>
          <w:highlight w:val="none"/>
          <w:lang w:bidi="ar"/>
        </w:rPr>
        <w:t>第13部分：黏土类矿产》（DZ/T 0462.13-2024）中领跑者指标要求“高岭土矿选矿回收率不低于90%”。</w:t>
      </w:r>
    </w:p>
    <w:p>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left="0" w:leftChars="0" w:firstLine="560" w:firstLineChars="200"/>
        <w:textAlignment w:val="auto"/>
        <w:rPr>
          <w:rFonts w:hint="eastAsia" w:asciiTheme="minorEastAsia" w:hAnsiTheme="minorEastAsia" w:eastAsiaTheme="minorEastAsia" w:cstheme="minorEastAsia"/>
          <w:color w:val="auto"/>
          <w:spacing w:val="0"/>
          <w:sz w:val="28"/>
          <w:szCs w:val="28"/>
          <w:highlight w:val="none"/>
        </w:rPr>
      </w:pPr>
      <w:r>
        <w:rPr>
          <w:rFonts w:hint="eastAsia" w:asciiTheme="minorEastAsia" w:hAnsiTheme="minorEastAsia" w:eastAsiaTheme="minorEastAsia" w:cstheme="minorEastAsia"/>
          <w:color w:val="auto"/>
          <w:spacing w:val="0"/>
          <w:sz w:val="28"/>
          <w:szCs w:val="28"/>
          <w:highlight w:val="none"/>
        </w:rPr>
        <w:t>《开发方案》中承诺矿山采选设备、工艺达到国内同类矿山先进生产水平，承诺</w:t>
      </w:r>
      <w:r>
        <w:rPr>
          <w:rFonts w:hint="eastAsia" w:asciiTheme="minorEastAsia" w:hAnsiTheme="minorEastAsia" w:eastAsiaTheme="minorEastAsia" w:cstheme="minorEastAsia"/>
          <w:bCs/>
          <w:color w:val="auto"/>
          <w:spacing w:val="0"/>
          <w:kern w:val="0"/>
          <w:sz w:val="28"/>
          <w:szCs w:val="28"/>
          <w:highlight w:val="none"/>
          <w:lang w:bidi="en-US"/>
        </w:rPr>
        <w:t>“三率”指标达到</w:t>
      </w:r>
      <w:r>
        <w:rPr>
          <w:rFonts w:hint="eastAsia" w:asciiTheme="minorEastAsia" w:hAnsiTheme="minorEastAsia" w:eastAsiaTheme="minorEastAsia" w:cstheme="minorEastAsia"/>
          <w:color w:val="auto"/>
          <w:spacing w:val="0"/>
          <w:sz w:val="28"/>
          <w:szCs w:val="28"/>
          <w:highlight w:val="none"/>
          <w:lang w:bidi="ar"/>
        </w:rPr>
        <w:t>《矿产资源“三率”指标要求</w:t>
      </w:r>
      <w:r>
        <w:rPr>
          <w:rFonts w:hint="eastAsia" w:asciiTheme="minorEastAsia" w:hAnsiTheme="minorEastAsia" w:cstheme="minorEastAsia"/>
          <w:color w:val="auto"/>
          <w:spacing w:val="0"/>
          <w:sz w:val="28"/>
          <w:szCs w:val="28"/>
          <w:highlight w:val="none"/>
          <w:lang w:val="en-US" w:eastAsia="zh-CN" w:bidi="ar"/>
        </w:rPr>
        <w:t xml:space="preserve">  </w:t>
      </w:r>
      <w:r>
        <w:rPr>
          <w:rFonts w:hint="eastAsia" w:asciiTheme="minorEastAsia" w:hAnsiTheme="minorEastAsia" w:eastAsiaTheme="minorEastAsia" w:cstheme="minorEastAsia"/>
          <w:color w:val="auto"/>
          <w:spacing w:val="0"/>
          <w:sz w:val="28"/>
          <w:szCs w:val="28"/>
          <w:highlight w:val="none"/>
          <w:lang w:bidi="ar"/>
        </w:rPr>
        <w:t>第13部分：黏土类矿产》</w:t>
      </w:r>
      <w:r>
        <w:rPr>
          <w:rFonts w:hint="eastAsia" w:asciiTheme="minorEastAsia" w:hAnsiTheme="minorEastAsia" w:eastAsiaTheme="minorEastAsia" w:cstheme="minorEastAsia"/>
          <w:bCs/>
          <w:color w:val="auto"/>
          <w:spacing w:val="0"/>
          <w:kern w:val="0"/>
          <w:sz w:val="28"/>
          <w:szCs w:val="28"/>
          <w:highlight w:val="none"/>
          <w:lang w:bidi="en-US"/>
        </w:rPr>
        <w:t>（DZ/T 0462.13-2024）中领跑者指标要求</w:t>
      </w:r>
      <w:r>
        <w:rPr>
          <w:rFonts w:hint="eastAsia" w:asciiTheme="minorEastAsia" w:hAnsiTheme="minorEastAsia" w:eastAsiaTheme="minorEastAsia" w:cstheme="minorEastAsia"/>
          <w:color w:val="auto"/>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60" w:lineRule="exact"/>
        <w:ind w:left="0" w:leftChars="0" w:firstLine="420" w:firstLineChars="0"/>
        <w:textAlignment w:val="auto"/>
        <w:rPr>
          <w:rFonts w:hint="eastAsia" w:ascii="宋体" w:hAnsi="宋体" w:eastAsia="宋体"/>
          <w:color w:val="auto"/>
          <w:spacing w:val="0"/>
          <w:sz w:val="28"/>
          <w:szCs w:val="28"/>
          <w:highlight w:val="none"/>
        </w:rPr>
      </w:pPr>
      <w:r>
        <w:rPr>
          <w:rFonts w:hint="eastAsia" w:ascii="宋体" w:hAnsi="宋体" w:eastAsia="宋体"/>
          <w:color w:val="auto"/>
          <w:spacing w:val="0"/>
          <w:sz w:val="28"/>
          <w:szCs w:val="28"/>
          <w:highlight w:val="none"/>
        </w:rPr>
        <w:t>矿山</w:t>
      </w:r>
      <w:r>
        <w:rPr>
          <w:rFonts w:ascii="宋体" w:hAnsi="宋体" w:eastAsia="宋体"/>
          <w:color w:val="auto"/>
          <w:spacing w:val="0"/>
          <w:sz w:val="28"/>
          <w:szCs w:val="28"/>
          <w:highlight w:val="none"/>
        </w:rPr>
        <w:t>建设、生产中须</w:t>
      </w:r>
      <w:r>
        <w:rPr>
          <w:rFonts w:hint="eastAsia" w:ascii="宋体" w:hAnsi="宋体" w:eastAsia="宋体"/>
          <w:color w:val="auto"/>
          <w:spacing w:val="0"/>
          <w:sz w:val="28"/>
          <w:szCs w:val="28"/>
          <w:highlight w:val="none"/>
        </w:rPr>
        <w:t>严格</w:t>
      </w:r>
      <w:r>
        <w:rPr>
          <w:rFonts w:ascii="宋体" w:hAnsi="宋体" w:eastAsia="宋体"/>
          <w:color w:val="auto"/>
          <w:spacing w:val="0"/>
          <w:sz w:val="28"/>
          <w:szCs w:val="28"/>
          <w:highlight w:val="none"/>
        </w:rPr>
        <w:t>执行安全、生态保护等</w:t>
      </w:r>
      <w:r>
        <w:rPr>
          <w:rFonts w:hint="eastAsia" w:ascii="宋体" w:hAnsi="宋体" w:eastAsia="宋体"/>
          <w:color w:val="auto"/>
          <w:spacing w:val="0"/>
          <w:sz w:val="28"/>
          <w:szCs w:val="28"/>
          <w:highlight w:val="none"/>
        </w:rPr>
        <w:t>规定</w:t>
      </w:r>
      <w:r>
        <w:rPr>
          <w:rFonts w:ascii="宋体" w:hAnsi="宋体" w:eastAsia="宋体"/>
          <w:color w:val="auto"/>
          <w:spacing w:val="0"/>
          <w:sz w:val="28"/>
          <w:szCs w:val="28"/>
          <w:highlight w:val="none"/>
        </w:rPr>
        <w:t>。矿山</w:t>
      </w:r>
      <w:r>
        <w:rPr>
          <w:rFonts w:hint="eastAsia" w:ascii="宋体" w:hAnsi="宋体" w:eastAsia="宋体"/>
          <w:color w:val="auto"/>
          <w:spacing w:val="0"/>
          <w:sz w:val="28"/>
          <w:szCs w:val="28"/>
          <w:highlight w:val="none"/>
        </w:rPr>
        <w:t>安全</w:t>
      </w:r>
      <w:r>
        <w:rPr>
          <w:rFonts w:ascii="宋体" w:hAnsi="宋体" w:eastAsia="宋体"/>
          <w:color w:val="auto"/>
          <w:spacing w:val="0"/>
          <w:sz w:val="28"/>
          <w:szCs w:val="28"/>
          <w:highlight w:val="none"/>
        </w:rPr>
        <w:t>、环境影响评价、矿山地质环境保护与土地复垦、水土保持等按照各相应主管部门审批的方案执行。</w:t>
      </w:r>
    </w:p>
    <w:p>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60" w:lineRule="exact"/>
        <w:ind w:left="0" w:leftChars="0" w:firstLine="420" w:firstLineChars="0"/>
        <w:textAlignment w:val="auto"/>
        <w:rPr>
          <w:rFonts w:hint="eastAsia" w:ascii="宋体" w:hAnsi="宋体" w:eastAsia="宋体"/>
          <w:color w:val="auto"/>
          <w:spacing w:val="0"/>
          <w:sz w:val="28"/>
          <w:szCs w:val="28"/>
          <w:highlight w:val="none"/>
        </w:rPr>
      </w:pPr>
      <w:r>
        <w:rPr>
          <w:rFonts w:hint="eastAsia" w:ascii="宋体" w:hAnsi="宋体" w:eastAsia="宋体"/>
          <w:color w:val="auto"/>
          <w:spacing w:val="0"/>
          <w:sz w:val="28"/>
          <w:szCs w:val="28"/>
          <w:highlight w:val="none"/>
        </w:rPr>
        <w:t>根据准格尔旗自然资源局2025年3月18日出具的《关于核查准格尔旗蒙盛新材料有限责任公司高岭矿申请范围内耕地情况的复函》（准自然资函〔2025〕724号）</w:t>
      </w:r>
      <w:r>
        <w:rPr>
          <w:rFonts w:hint="eastAsia" w:ascii="宋体" w:hAnsi="宋体" w:eastAsia="宋体"/>
          <w:color w:val="auto"/>
          <w:spacing w:val="0"/>
          <w:sz w:val="28"/>
          <w:szCs w:val="28"/>
          <w:highlight w:val="none"/>
          <w:lang w:eastAsia="zh-CN"/>
        </w:rPr>
        <w:t>、</w:t>
      </w:r>
      <w:r>
        <w:rPr>
          <w:rFonts w:hint="eastAsia" w:ascii="宋体" w:hAnsi="宋体" w:eastAsia="宋体"/>
          <w:color w:val="auto"/>
          <w:spacing w:val="0"/>
          <w:sz w:val="28"/>
          <w:szCs w:val="28"/>
          <w:highlight w:val="none"/>
        </w:rPr>
        <w:t>202</w:t>
      </w:r>
      <w:r>
        <w:rPr>
          <w:rFonts w:hint="eastAsia" w:ascii="宋体" w:hAnsi="宋体" w:eastAsia="宋体"/>
          <w:color w:val="auto"/>
          <w:spacing w:val="0"/>
          <w:sz w:val="28"/>
          <w:szCs w:val="28"/>
          <w:highlight w:val="none"/>
          <w:lang w:val="en-US" w:eastAsia="zh-CN"/>
        </w:rPr>
        <w:t>4</w:t>
      </w:r>
      <w:r>
        <w:rPr>
          <w:rFonts w:hint="eastAsia" w:ascii="宋体" w:hAnsi="宋体" w:eastAsia="宋体"/>
          <w:color w:val="auto"/>
          <w:spacing w:val="0"/>
          <w:sz w:val="28"/>
          <w:szCs w:val="28"/>
          <w:highlight w:val="none"/>
        </w:rPr>
        <w:t>年</w:t>
      </w:r>
      <w:r>
        <w:rPr>
          <w:rFonts w:hint="eastAsia" w:ascii="宋体" w:hAnsi="宋体" w:eastAsia="宋体"/>
          <w:color w:val="auto"/>
          <w:spacing w:val="0"/>
          <w:sz w:val="28"/>
          <w:szCs w:val="28"/>
          <w:highlight w:val="none"/>
          <w:lang w:val="en-US" w:eastAsia="zh-CN"/>
        </w:rPr>
        <w:t>9</w:t>
      </w:r>
      <w:r>
        <w:rPr>
          <w:rFonts w:hint="eastAsia" w:ascii="宋体" w:hAnsi="宋体" w:eastAsia="宋体"/>
          <w:color w:val="auto"/>
          <w:spacing w:val="0"/>
          <w:sz w:val="28"/>
          <w:szCs w:val="28"/>
          <w:highlight w:val="none"/>
        </w:rPr>
        <w:t>月1</w:t>
      </w:r>
      <w:r>
        <w:rPr>
          <w:rFonts w:hint="eastAsia" w:ascii="宋体" w:hAnsi="宋体" w:eastAsia="宋体"/>
          <w:color w:val="auto"/>
          <w:spacing w:val="0"/>
          <w:sz w:val="28"/>
          <w:szCs w:val="28"/>
          <w:highlight w:val="none"/>
          <w:lang w:val="en-US" w:eastAsia="zh-CN"/>
        </w:rPr>
        <w:t>2</w:t>
      </w:r>
      <w:r>
        <w:rPr>
          <w:rFonts w:hint="eastAsia" w:ascii="宋体" w:hAnsi="宋体" w:eastAsia="宋体"/>
          <w:color w:val="auto"/>
          <w:spacing w:val="0"/>
          <w:sz w:val="28"/>
          <w:szCs w:val="28"/>
          <w:highlight w:val="none"/>
        </w:rPr>
        <w:t>日出具的《准格尔旗自然资源局关于</w:t>
      </w:r>
      <w:r>
        <w:rPr>
          <w:rFonts w:hint="eastAsia" w:ascii="宋体" w:hAnsi="宋体" w:eastAsia="宋体"/>
          <w:color w:val="auto"/>
          <w:spacing w:val="0"/>
          <w:sz w:val="28"/>
          <w:szCs w:val="28"/>
          <w:highlight w:val="none"/>
          <w:lang w:val="en-US" w:eastAsia="zh-CN"/>
        </w:rPr>
        <w:t>协议出让</w:t>
      </w:r>
      <w:r>
        <w:rPr>
          <w:rFonts w:hint="eastAsia" w:ascii="宋体" w:hAnsi="宋体" w:eastAsia="宋体"/>
          <w:color w:val="auto"/>
          <w:spacing w:val="0"/>
          <w:sz w:val="28"/>
          <w:szCs w:val="28"/>
          <w:highlight w:val="none"/>
        </w:rPr>
        <w:t>准格尔旗蒙盛新材料有限责任公司高岭</w:t>
      </w:r>
      <w:r>
        <w:rPr>
          <w:rFonts w:hint="eastAsia" w:ascii="宋体" w:hAnsi="宋体" w:eastAsia="宋体"/>
          <w:color w:val="auto"/>
          <w:spacing w:val="0"/>
          <w:sz w:val="28"/>
          <w:szCs w:val="28"/>
          <w:highlight w:val="none"/>
          <w:lang w:val="en-US" w:eastAsia="zh-CN"/>
        </w:rPr>
        <w:t>土</w:t>
      </w:r>
      <w:r>
        <w:rPr>
          <w:rFonts w:hint="eastAsia" w:ascii="宋体" w:hAnsi="宋体" w:eastAsia="宋体"/>
          <w:color w:val="auto"/>
          <w:spacing w:val="0"/>
          <w:sz w:val="28"/>
          <w:szCs w:val="28"/>
          <w:highlight w:val="none"/>
        </w:rPr>
        <w:t>矿</w:t>
      </w:r>
      <w:r>
        <w:rPr>
          <w:rFonts w:hint="eastAsia" w:ascii="宋体" w:hAnsi="宋体" w:eastAsia="宋体"/>
          <w:color w:val="auto"/>
          <w:spacing w:val="0"/>
          <w:sz w:val="28"/>
          <w:szCs w:val="28"/>
          <w:highlight w:val="none"/>
          <w:lang w:val="en-US" w:eastAsia="zh-CN"/>
        </w:rPr>
        <w:t>上部和深部资源采矿权核查情况的报告</w:t>
      </w:r>
      <w:r>
        <w:rPr>
          <w:rFonts w:hint="eastAsia" w:ascii="宋体" w:hAnsi="宋体" w:eastAsia="宋体"/>
          <w:color w:val="auto"/>
          <w:spacing w:val="0"/>
          <w:sz w:val="28"/>
          <w:szCs w:val="28"/>
          <w:highlight w:val="none"/>
        </w:rPr>
        <w:t>》（准自然资</w:t>
      </w:r>
      <w:r>
        <w:rPr>
          <w:rFonts w:hint="eastAsia" w:ascii="宋体" w:hAnsi="宋体" w:eastAsia="宋体"/>
          <w:color w:val="auto"/>
          <w:spacing w:val="0"/>
          <w:sz w:val="28"/>
          <w:szCs w:val="28"/>
          <w:highlight w:val="none"/>
          <w:lang w:val="en-US" w:eastAsia="zh-CN"/>
        </w:rPr>
        <w:t>字</w:t>
      </w:r>
      <w:r>
        <w:rPr>
          <w:rFonts w:hint="eastAsia" w:ascii="宋体" w:hAnsi="宋体" w:eastAsia="宋体"/>
          <w:color w:val="auto"/>
          <w:spacing w:val="0"/>
          <w:sz w:val="28"/>
          <w:szCs w:val="28"/>
          <w:highlight w:val="none"/>
        </w:rPr>
        <w:t>〔202</w:t>
      </w:r>
      <w:r>
        <w:rPr>
          <w:rFonts w:hint="eastAsia" w:ascii="宋体" w:hAnsi="宋体" w:eastAsia="宋体"/>
          <w:color w:val="auto"/>
          <w:spacing w:val="0"/>
          <w:sz w:val="28"/>
          <w:szCs w:val="28"/>
          <w:highlight w:val="none"/>
          <w:lang w:val="en-US" w:eastAsia="zh-CN"/>
        </w:rPr>
        <w:t>4</w:t>
      </w:r>
      <w:r>
        <w:rPr>
          <w:rFonts w:hint="eastAsia" w:ascii="宋体" w:hAnsi="宋体" w:eastAsia="宋体"/>
          <w:color w:val="auto"/>
          <w:spacing w:val="0"/>
          <w:sz w:val="28"/>
          <w:szCs w:val="28"/>
          <w:highlight w:val="none"/>
        </w:rPr>
        <w:t>〕</w:t>
      </w:r>
      <w:r>
        <w:rPr>
          <w:rFonts w:hint="eastAsia" w:ascii="宋体" w:hAnsi="宋体" w:eastAsia="宋体"/>
          <w:color w:val="auto"/>
          <w:spacing w:val="0"/>
          <w:sz w:val="28"/>
          <w:szCs w:val="28"/>
          <w:highlight w:val="none"/>
          <w:lang w:val="en-US" w:eastAsia="zh-CN"/>
        </w:rPr>
        <w:t>2407</w:t>
      </w:r>
      <w:r>
        <w:rPr>
          <w:rFonts w:hint="eastAsia" w:ascii="宋体" w:hAnsi="宋体" w:eastAsia="宋体"/>
          <w:color w:val="auto"/>
          <w:spacing w:val="0"/>
          <w:sz w:val="28"/>
          <w:szCs w:val="28"/>
          <w:highlight w:val="none"/>
        </w:rPr>
        <w:t>号），该申请</w:t>
      </w:r>
      <w:r>
        <w:rPr>
          <w:rFonts w:hint="eastAsia" w:ascii="宋体" w:hAnsi="宋体" w:eastAsia="宋体"/>
          <w:color w:val="auto"/>
          <w:spacing w:val="0"/>
          <w:sz w:val="28"/>
          <w:szCs w:val="28"/>
          <w:highlight w:val="none"/>
          <w:lang w:val="en-US" w:eastAsia="zh-CN"/>
        </w:rPr>
        <w:t>采矿权</w:t>
      </w:r>
      <w:r>
        <w:rPr>
          <w:rFonts w:hint="eastAsia" w:ascii="宋体" w:hAnsi="宋体" w:eastAsia="宋体"/>
          <w:color w:val="auto"/>
          <w:spacing w:val="0"/>
          <w:sz w:val="28"/>
          <w:szCs w:val="28"/>
          <w:highlight w:val="none"/>
        </w:rPr>
        <w:t>范围涉及耕地197.0484公顷</w:t>
      </w:r>
      <w:r>
        <w:rPr>
          <w:rFonts w:hint="eastAsia" w:ascii="宋体" w:hAnsi="宋体" w:eastAsia="宋体"/>
          <w:color w:val="auto"/>
          <w:spacing w:val="0"/>
          <w:sz w:val="28"/>
          <w:szCs w:val="28"/>
          <w:highlight w:val="none"/>
          <w:lang w:eastAsia="zh-CN"/>
        </w:rPr>
        <w:t>，</w:t>
      </w:r>
      <w:r>
        <w:rPr>
          <w:rFonts w:hint="eastAsia" w:ascii="宋体" w:hAnsi="宋体" w:eastAsia="宋体"/>
          <w:color w:val="auto"/>
          <w:spacing w:val="0"/>
          <w:sz w:val="28"/>
          <w:szCs w:val="28"/>
          <w:highlight w:val="none"/>
          <w:lang w:val="en-US" w:eastAsia="zh-CN"/>
        </w:rPr>
        <w:t>不涉及永久基本农田</w:t>
      </w:r>
      <w:r>
        <w:rPr>
          <w:rFonts w:hint="eastAsia" w:ascii="宋体" w:hAnsi="宋体" w:eastAsia="宋体"/>
          <w:color w:val="auto"/>
          <w:spacing w:val="0"/>
          <w:sz w:val="28"/>
          <w:szCs w:val="28"/>
          <w:highlight w:val="none"/>
        </w:rPr>
        <w:t>。</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ind w:left="0" w:leftChars="0" w:firstLine="560" w:firstLineChars="200"/>
        <w:textAlignment w:val="auto"/>
        <w:rPr>
          <w:rFonts w:hint="eastAsia" w:ascii="宋体" w:hAnsi="宋体" w:eastAsia="宋体"/>
          <w:color w:val="auto"/>
          <w:spacing w:val="0"/>
          <w:sz w:val="28"/>
          <w:szCs w:val="28"/>
          <w:highlight w:val="none"/>
          <w:lang w:eastAsia="zh-CN"/>
        </w:rPr>
      </w:pPr>
      <w:r>
        <w:rPr>
          <w:rFonts w:hint="eastAsia" w:ascii="宋体" w:hAnsi="宋体" w:eastAsia="宋体"/>
          <w:color w:val="auto"/>
          <w:spacing w:val="0"/>
          <w:sz w:val="28"/>
          <w:szCs w:val="28"/>
          <w:highlight w:val="none"/>
        </w:rPr>
        <w:t>《开发方案》符合《内蒙古自治区自然资源厅关于做好内蒙古自治区矿产资源开发利用方案审查工作的通知》（内自然资字〔2024〕487号）</w:t>
      </w:r>
      <w:r>
        <w:rPr>
          <w:rFonts w:ascii="宋体" w:hAnsi="宋体" w:eastAsia="宋体"/>
          <w:color w:val="auto"/>
          <w:spacing w:val="0"/>
          <w:sz w:val="28"/>
          <w:szCs w:val="28"/>
          <w:highlight w:val="none"/>
        </w:rPr>
        <w:t>文件</w:t>
      </w:r>
      <w:r>
        <w:rPr>
          <w:rFonts w:hint="eastAsia" w:ascii="宋体" w:hAnsi="宋体" w:eastAsia="宋体"/>
          <w:color w:val="auto"/>
          <w:spacing w:val="0"/>
          <w:sz w:val="28"/>
          <w:szCs w:val="28"/>
          <w:highlight w:val="none"/>
        </w:rPr>
        <w:t>要求</w:t>
      </w:r>
      <w:r>
        <w:rPr>
          <w:rFonts w:ascii="宋体" w:hAnsi="宋体" w:eastAsia="宋体"/>
          <w:color w:val="auto"/>
          <w:spacing w:val="0"/>
          <w:sz w:val="28"/>
          <w:szCs w:val="28"/>
          <w:highlight w:val="none"/>
        </w:rPr>
        <w:t>，</w:t>
      </w:r>
      <w:r>
        <w:rPr>
          <w:rFonts w:hint="eastAsia" w:ascii="宋体" w:hAnsi="宋体" w:eastAsia="宋体"/>
          <w:color w:val="auto"/>
          <w:spacing w:val="0"/>
          <w:sz w:val="28"/>
          <w:szCs w:val="28"/>
          <w:highlight w:val="none"/>
          <w:lang w:eastAsia="zh-CN"/>
        </w:rPr>
        <w:t>专家组一致</w:t>
      </w:r>
      <w:r>
        <w:rPr>
          <w:rFonts w:ascii="宋体" w:hAnsi="宋体" w:eastAsia="宋体"/>
          <w:color w:val="auto"/>
          <w:spacing w:val="0"/>
          <w:sz w:val="28"/>
          <w:szCs w:val="28"/>
          <w:highlight w:val="none"/>
        </w:rPr>
        <w:t>同意通过审查。</w:t>
      </w:r>
      <w:bookmarkStart w:id="4" w:name="_GoBack"/>
      <w:bookmarkEnd w:id="4"/>
    </w:p>
    <w:sectPr>
      <w:footerReference r:id="rId5" w:type="first"/>
      <w:footerReference r:id="rId3" w:type="default"/>
      <w:footerReference r:id="rId4" w:type="even"/>
      <w:pgSz w:w="11906" w:h="16838"/>
      <w:pgMar w:top="2098" w:right="1474" w:bottom="1984" w:left="1587" w:header="850" w:footer="992"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w:pict>
        <v:shape id="_x0000_s4098" o:spid="_x0000_s4098"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CE615165"/>
    <w:multiLevelType w:val="singleLevel"/>
    <w:tmpl w:val="CE615165"/>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HorizontalSpacing w:val="210"/>
  <w:drawingGridVerticalSpacing w:val="99999990"/>
  <w:displayHorizontalDrawingGridEvery w:val="1"/>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BAA74A5"/>
    <w:rsid w:val="000C2B5D"/>
    <w:rsid w:val="000D331A"/>
    <w:rsid w:val="001361BA"/>
    <w:rsid w:val="001D2AA1"/>
    <w:rsid w:val="001D771D"/>
    <w:rsid w:val="00295A89"/>
    <w:rsid w:val="0029632A"/>
    <w:rsid w:val="002E0758"/>
    <w:rsid w:val="003A3219"/>
    <w:rsid w:val="003C08A3"/>
    <w:rsid w:val="00413F4B"/>
    <w:rsid w:val="00415D40"/>
    <w:rsid w:val="004177E7"/>
    <w:rsid w:val="0047641C"/>
    <w:rsid w:val="004A3EB6"/>
    <w:rsid w:val="0051288A"/>
    <w:rsid w:val="00516650"/>
    <w:rsid w:val="005B1BF4"/>
    <w:rsid w:val="00663B0A"/>
    <w:rsid w:val="0066732F"/>
    <w:rsid w:val="006D18CE"/>
    <w:rsid w:val="00734186"/>
    <w:rsid w:val="0075173B"/>
    <w:rsid w:val="00895A60"/>
    <w:rsid w:val="008E6B5D"/>
    <w:rsid w:val="009453E6"/>
    <w:rsid w:val="00962B5C"/>
    <w:rsid w:val="009C0E8F"/>
    <w:rsid w:val="009C71AF"/>
    <w:rsid w:val="009F6724"/>
    <w:rsid w:val="00A813EA"/>
    <w:rsid w:val="00AA63AD"/>
    <w:rsid w:val="00B30D36"/>
    <w:rsid w:val="00BE752D"/>
    <w:rsid w:val="00C111C2"/>
    <w:rsid w:val="00C47828"/>
    <w:rsid w:val="00CC2A97"/>
    <w:rsid w:val="00CD366F"/>
    <w:rsid w:val="00D01BB8"/>
    <w:rsid w:val="00D54480"/>
    <w:rsid w:val="00DA5A69"/>
    <w:rsid w:val="00DD2C13"/>
    <w:rsid w:val="00E1602A"/>
    <w:rsid w:val="00E439F6"/>
    <w:rsid w:val="00F04905"/>
    <w:rsid w:val="00F81912"/>
    <w:rsid w:val="00FB46AF"/>
    <w:rsid w:val="00FC74A0"/>
    <w:rsid w:val="017B5008"/>
    <w:rsid w:val="05974544"/>
    <w:rsid w:val="0784063C"/>
    <w:rsid w:val="0A8975C9"/>
    <w:rsid w:val="0AFB6FF6"/>
    <w:rsid w:val="0D23712D"/>
    <w:rsid w:val="0DEF2194"/>
    <w:rsid w:val="0E9630FE"/>
    <w:rsid w:val="10AE35A2"/>
    <w:rsid w:val="11BA18B5"/>
    <w:rsid w:val="13AC7923"/>
    <w:rsid w:val="14A75149"/>
    <w:rsid w:val="168169EE"/>
    <w:rsid w:val="182E403B"/>
    <w:rsid w:val="1A237CA1"/>
    <w:rsid w:val="1ACFFC13"/>
    <w:rsid w:val="1B9645BA"/>
    <w:rsid w:val="1DBC2D23"/>
    <w:rsid w:val="1EBB0F7F"/>
    <w:rsid w:val="203C3DDD"/>
    <w:rsid w:val="221D73A0"/>
    <w:rsid w:val="23C75E4F"/>
    <w:rsid w:val="247F6E0C"/>
    <w:rsid w:val="25456B4C"/>
    <w:rsid w:val="2A102C3A"/>
    <w:rsid w:val="2BF026D3"/>
    <w:rsid w:val="2CA01BC7"/>
    <w:rsid w:val="2D0C3E9D"/>
    <w:rsid w:val="2DAD1E76"/>
    <w:rsid w:val="32AD1DD3"/>
    <w:rsid w:val="33D60FBC"/>
    <w:rsid w:val="33ED6ABF"/>
    <w:rsid w:val="34346E4D"/>
    <w:rsid w:val="373165D5"/>
    <w:rsid w:val="3BE727F1"/>
    <w:rsid w:val="3C3B2277"/>
    <w:rsid w:val="3CED228F"/>
    <w:rsid w:val="3DE36791"/>
    <w:rsid w:val="3E454D66"/>
    <w:rsid w:val="40DD797A"/>
    <w:rsid w:val="44420C43"/>
    <w:rsid w:val="45224E18"/>
    <w:rsid w:val="45A8633B"/>
    <w:rsid w:val="48731D83"/>
    <w:rsid w:val="4C1971AE"/>
    <w:rsid w:val="4CEC5D2F"/>
    <w:rsid w:val="4D3D2DBF"/>
    <w:rsid w:val="4EAA4484"/>
    <w:rsid w:val="4FFB3809"/>
    <w:rsid w:val="500E0829"/>
    <w:rsid w:val="501B7BB1"/>
    <w:rsid w:val="5352603B"/>
    <w:rsid w:val="54C87412"/>
    <w:rsid w:val="57A560C9"/>
    <w:rsid w:val="59472A23"/>
    <w:rsid w:val="59FB83B7"/>
    <w:rsid w:val="5DD224E9"/>
    <w:rsid w:val="5FB013F4"/>
    <w:rsid w:val="60370316"/>
    <w:rsid w:val="606C1654"/>
    <w:rsid w:val="608F34D9"/>
    <w:rsid w:val="61B26096"/>
    <w:rsid w:val="62946B85"/>
    <w:rsid w:val="65B25CB4"/>
    <w:rsid w:val="662866B1"/>
    <w:rsid w:val="665FE0CB"/>
    <w:rsid w:val="67C46D8C"/>
    <w:rsid w:val="68374B41"/>
    <w:rsid w:val="696B3119"/>
    <w:rsid w:val="6D262AD0"/>
    <w:rsid w:val="6F933654"/>
    <w:rsid w:val="70751B2B"/>
    <w:rsid w:val="73651341"/>
    <w:rsid w:val="7686635C"/>
    <w:rsid w:val="768D1147"/>
    <w:rsid w:val="77764E4C"/>
    <w:rsid w:val="77DFE1EE"/>
    <w:rsid w:val="78F15A2B"/>
    <w:rsid w:val="79CC40E1"/>
    <w:rsid w:val="7BAA74A5"/>
    <w:rsid w:val="7BDB0705"/>
    <w:rsid w:val="7E1D3A7B"/>
    <w:rsid w:val="7F7ED31F"/>
    <w:rsid w:val="7FF7EDF3"/>
    <w:rsid w:val="8F772562"/>
    <w:rsid w:val="DDFF4A44"/>
    <w:rsid w:val="E6F7E360"/>
    <w:rsid w:val="FF3E86A8"/>
    <w:rsid w:val="FF9A3AB3"/>
    <w:rsid w:val="FFD140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next w:val="1"/>
    <w:qFormat/>
    <w:uiPriority w:val="99"/>
    <w:pPr>
      <w:spacing w:line="360" w:lineRule="auto"/>
      <w:ind w:firstLine="555"/>
    </w:pPr>
    <w:rPr>
      <w:rFonts w:ascii="仿宋_GB2312" w:hAnsi="宋体" w:eastAsia="仿宋_GB2312"/>
      <w:kern w:val="0"/>
      <w:sz w:val="28"/>
    </w:rPr>
  </w:style>
  <w:style w:type="paragraph" w:styleId="4">
    <w:name w:val="Plain Text"/>
    <w:basedOn w:val="1"/>
    <w:qFormat/>
    <w:uiPriority w:val="0"/>
    <w:rPr>
      <w:rFonts w:ascii="宋体" w:hAnsi="Courier New"/>
      <w:szCs w:val="21"/>
    </w:rPr>
  </w:style>
  <w:style w:type="paragraph" w:styleId="5">
    <w:name w:val="Date"/>
    <w:basedOn w:val="1"/>
    <w:next w:val="1"/>
    <w:link w:val="16"/>
    <w:qFormat/>
    <w:uiPriority w:val="0"/>
    <w:pPr>
      <w:ind w:left="100" w:leftChars="2500"/>
    </w:pPr>
  </w:style>
  <w:style w:type="paragraph" w:styleId="6">
    <w:name w:val="endnote text"/>
    <w:basedOn w:val="1"/>
    <w:qFormat/>
    <w:uiPriority w:val="0"/>
    <w:pPr>
      <w:snapToGrid w:val="0"/>
      <w:jc w:val="left"/>
    </w:pPr>
    <w:rPr>
      <w:sz w:val="21"/>
    </w:rPr>
  </w:style>
  <w:style w:type="paragraph" w:styleId="7">
    <w:name w:val="Balloon Text"/>
    <w:basedOn w:val="1"/>
    <w:link w:val="17"/>
    <w:semiHidden/>
    <w:unhideWhenUsed/>
    <w:qFormat/>
    <w:uiPriority w:val="0"/>
    <w:rPr>
      <w:sz w:val="18"/>
      <w:szCs w:val="18"/>
    </w:rPr>
  </w:style>
  <w:style w:type="paragraph" w:styleId="8">
    <w:name w:val="footer"/>
    <w:basedOn w:val="1"/>
    <w:link w:val="18"/>
    <w:qFormat/>
    <w:uiPriority w:val="99"/>
    <w:pPr>
      <w:tabs>
        <w:tab w:val="center" w:pos="4153"/>
        <w:tab w:val="right" w:pos="8306"/>
      </w:tabs>
      <w:snapToGrid w:val="0"/>
      <w:jc w:val="left"/>
    </w:pPr>
    <w:rPr>
      <w:sz w:val="18"/>
      <w:szCs w:val="18"/>
    </w:rPr>
  </w:style>
  <w:style w:type="paragraph" w:styleId="9">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1"/>
    <w:next w:val="3"/>
    <w:qFormat/>
    <w:uiPriority w:val="0"/>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customStyle="1" w:styleId="15">
    <w:name w:val="页眉 字符"/>
    <w:basedOn w:val="13"/>
    <w:link w:val="9"/>
    <w:qFormat/>
    <w:uiPriority w:val="0"/>
    <w:rPr>
      <w:kern w:val="2"/>
      <w:sz w:val="18"/>
      <w:szCs w:val="18"/>
    </w:rPr>
  </w:style>
  <w:style w:type="character" w:customStyle="1" w:styleId="16">
    <w:name w:val="日期 字符"/>
    <w:basedOn w:val="13"/>
    <w:link w:val="5"/>
    <w:qFormat/>
    <w:uiPriority w:val="0"/>
    <w:rPr>
      <w:kern w:val="2"/>
      <w:sz w:val="21"/>
      <w:szCs w:val="22"/>
    </w:rPr>
  </w:style>
  <w:style w:type="character" w:customStyle="1" w:styleId="17">
    <w:name w:val="批注框文本 字符"/>
    <w:basedOn w:val="13"/>
    <w:link w:val="7"/>
    <w:semiHidden/>
    <w:qFormat/>
    <w:uiPriority w:val="0"/>
    <w:rPr>
      <w:kern w:val="2"/>
      <w:sz w:val="18"/>
      <w:szCs w:val="18"/>
    </w:rPr>
  </w:style>
  <w:style w:type="character" w:customStyle="1" w:styleId="18">
    <w:name w:val="页脚 字符"/>
    <w:basedOn w:val="13"/>
    <w:link w:val="8"/>
    <w:qFormat/>
    <w:uiPriority w:val="99"/>
    <w:rPr>
      <w:kern w:val="2"/>
      <w:sz w:val="18"/>
      <w:szCs w:val="18"/>
    </w:rPr>
  </w:style>
  <w:style w:type="paragraph" w:customStyle="1" w:styleId="19">
    <w:name w:val="表内文字"/>
    <w:qFormat/>
    <w:uiPriority w:val="0"/>
    <w:pPr>
      <w:snapToGrid w:val="0"/>
    </w:pPr>
    <w:rPr>
      <w:rFonts w:ascii="Times New Roman" w:hAnsi="Times New Roman" w:eastAsia="宋体" w:cs="Times New Roman"/>
      <w:sz w:val="21"/>
      <w:lang w:val="en-US" w:eastAsia="zh-CN" w:bidi="ar-SA"/>
    </w:rPr>
  </w:style>
  <w:style w:type="character" w:customStyle="1" w:styleId="20">
    <w:name w:val="font11"/>
    <w:basedOn w:val="13"/>
    <w:qFormat/>
    <w:uiPriority w:val="0"/>
    <w:rPr>
      <w:rFonts w:hint="eastAsia"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9"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2406</Words>
  <Characters>2959</Characters>
  <Lines>21</Lines>
  <Paragraphs>5</Paragraphs>
  <TotalTime>9</TotalTime>
  <ScaleCrop>false</ScaleCrop>
  <LinksUpToDate>false</LinksUpToDate>
  <CharactersWithSpaces>3068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2025-01-03T17:42:00Z</dcterms:created>
  <dc:creator>大家平安  利清清利</dc:creator>
  <cp:lastModifiedBy>greatwall</cp:lastModifiedBy>
  <cp:lastPrinted>2025-02-13T19:04:00Z</cp:lastPrinted>
  <dcterms:modified xsi:type="dcterms:W3CDTF">2025-05-23T15:47:34Z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D09F353C7E504B93B4932D3E43317A8C_11</vt:lpwstr>
  </property>
  <property fmtid="{D5CDD505-2E9C-101B-9397-08002B2CF9AE}" pid="4" name="KSOTemplateDocerSaveRecord">
    <vt:lpwstr>eyJoZGlkIjoiZDA1NTFjM2M5Y2VkNmNiNWRlN2RiZjE1ZmM2YjU1OTUiLCJ1c2VySWQiOiIxMjA4NTQ2MyJ9</vt:lpwstr>
  </property>
</Properties>
</file>