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A1EEA">
      <w:pPr>
        <w:pStyle w:val="11"/>
        <w:ind w:left="0" w:leftChars="0" w:firstLine="0" w:firstLineChars="0"/>
        <w:jc w:val="left"/>
        <w:rPr>
          <w:rFonts w:hint="eastAsia"/>
          <w:color w:val="auto"/>
          <w:spacing w:val="0"/>
          <w:w w:val="100"/>
          <w:highlight w:val="none"/>
        </w:rPr>
      </w:pPr>
      <w:bookmarkStart w:id="0" w:name="_Hlk182408923"/>
      <w:r>
        <w:rPr>
          <w:rFonts w:hint="eastAsia" w:ascii="黑体" w:hAnsi="黑体" w:eastAsia="黑体" w:cs="黑体"/>
          <w:color w:val="auto"/>
          <w:spacing w:val="0"/>
          <w:w w:val="100"/>
          <w:kern w:val="2"/>
          <w:sz w:val="32"/>
          <w:szCs w:val="32"/>
          <w:highlight w:val="none"/>
          <w:lang w:val="en-US" w:eastAsia="zh-CN" w:bidi="ar-SA"/>
        </w:rPr>
        <w:t>附件1</w:t>
      </w:r>
    </w:p>
    <w:p w14:paraId="37797778">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color w:val="auto"/>
          <w:spacing w:val="0"/>
          <w:w w:val="100"/>
          <w:highlight w:val="none"/>
        </w:rPr>
      </w:pPr>
    </w:p>
    <w:p w14:paraId="159ECEC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《准格尔旗东孔兑镇何家塔村放牛窑神龙砂厂</w:t>
      </w:r>
    </w:p>
    <w:p w14:paraId="157AACE3">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建筑用砂矿矿产资源开发利用与保护总体方案》</w:t>
      </w:r>
    </w:p>
    <w:p w14:paraId="34D5BB7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color w:val="auto"/>
          <w:spacing w:val="0"/>
          <w:w w:val="100"/>
          <w:highlight w:val="none"/>
        </w:rPr>
      </w:pPr>
    </w:p>
    <w:p w14:paraId="49754BF0">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color w:val="auto"/>
          <w:spacing w:val="0"/>
          <w:w w:val="100"/>
          <w:highlight w:val="none"/>
        </w:rPr>
      </w:pPr>
      <w:r>
        <w:rPr>
          <w:rFonts w:hint="eastAsia" w:ascii="黑体" w:hAnsi="黑体" w:eastAsia="黑体" w:cs="黑体"/>
          <w:bCs/>
          <w:color w:val="auto"/>
          <w:spacing w:val="0"/>
          <w:w w:val="100"/>
          <w:sz w:val="52"/>
          <w:szCs w:val="52"/>
          <w:highlight w:val="none"/>
        </w:rPr>
        <w:t xml:space="preserve">审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查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意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见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书</w:t>
      </w:r>
    </w:p>
    <w:p w14:paraId="725CDC40">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仿宋" w:hAnsi="仿宋" w:eastAsia="仿宋" w:cs="仿宋"/>
          <w:color w:val="auto"/>
          <w:spacing w:val="0"/>
          <w:w w:val="100"/>
          <w:sz w:val="32"/>
          <w:szCs w:val="32"/>
          <w:highlight w:val="none"/>
        </w:rPr>
      </w:pPr>
      <w:r>
        <w:rPr>
          <w:rFonts w:hint="eastAsia" w:ascii="仿宋" w:hAnsi="仿宋" w:eastAsia="仿宋" w:cs="仿宋"/>
          <w:color w:val="auto"/>
          <w:spacing w:val="0"/>
          <w:w w:val="100"/>
          <w:sz w:val="32"/>
          <w:szCs w:val="32"/>
          <w:highlight w:val="none"/>
        </w:rPr>
        <w:t>鄂矿审字〔202</w:t>
      </w:r>
      <w:r>
        <w:rPr>
          <w:rFonts w:hint="eastAsia" w:ascii="仿宋" w:hAnsi="仿宋" w:eastAsia="仿宋" w:cs="仿宋"/>
          <w:color w:val="auto"/>
          <w:spacing w:val="0"/>
          <w:w w:val="100"/>
          <w:sz w:val="32"/>
          <w:szCs w:val="32"/>
          <w:highlight w:val="none"/>
          <w:lang w:val="en-US" w:eastAsia="zh-CN"/>
        </w:rPr>
        <w:t>5</w:t>
      </w:r>
      <w:r>
        <w:rPr>
          <w:rFonts w:hint="eastAsia" w:ascii="仿宋" w:hAnsi="仿宋" w:eastAsia="仿宋" w:cs="仿宋"/>
          <w:color w:val="auto"/>
          <w:spacing w:val="0"/>
          <w:w w:val="100"/>
          <w:sz w:val="32"/>
          <w:szCs w:val="32"/>
          <w:highlight w:val="none"/>
        </w:rPr>
        <w:t>〕</w:t>
      </w:r>
      <w:r>
        <w:rPr>
          <w:rFonts w:hint="eastAsia" w:ascii="仿宋" w:hAnsi="仿宋" w:eastAsia="仿宋" w:cs="仿宋"/>
          <w:color w:val="auto"/>
          <w:spacing w:val="0"/>
          <w:w w:val="100"/>
          <w:sz w:val="32"/>
          <w:szCs w:val="32"/>
          <w:highlight w:val="none"/>
          <w:lang w:val="en-US" w:eastAsia="zh-CN"/>
        </w:rPr>
        <w:t>4</w:t>
      </w:r>
      <w:r>
        <w:rPr>
          <w:rFonts w:hint="eastAsia" w:ascii="仿宋" w:hAnsi="仿宋" w:eastAsia="仿宋" w:cs="仿宋"/>
          <w:color w:val="auto"/>
          <w:spacing w:val="0"/>
          <w:w w:val="100"/>
          <w:sz w:val="32"/>
          <w:szCs w:val="32"/>
          <w:highlight w:val="none"/>
        </w:rPr>
        <w:t>号</w:t>
      </w:r>
    </w:p>
    <w:p w14:paraId="4F7D9680">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color w:val="auto"/>
          <w:spacing w:val="0"/>
          <w:w w:val="100"/>
          <w:highlight w:val="none"/>
        </w:rPr>
      </w:pPr>
    </w:p>
    <w:p w14:paraId="6179B87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color w:val="auto"/>
          <w:spacing w:val="0"/>
          <w:w w:val="100"/>
          <w:highlight w:val="none"/>
        </w:rPr>
      </w:pPr>
    </w:p>
    <w:p w14:paraId="69A1E8E3">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color w:val="auto"/>
          <w:spacing w:val="0"/>
          <w:w w:val="100"/>
          <w:highlight w:val="none"/>
        </w:rPr>
      </w:pPr>
    </w:p>
    <w:p w14:paraId="3F60E5D1">
      <w:pPr>
        <w:pStyle w:val="6"/>
        <w:keepNext w:val="0"/>
        <w:keepLines w:val="0"/>
        <w:pageBreakBefore w:val="0"/>
        <w:widowControl w:val="0"/>
        <w:kinsoku/>
        <w:wordWrap/>
        <w:overflowPunct/>
        <w:topLinePunct w:val="0"/>
        <w:autoSpaceDE/>
        <w:autoSpaceDN/>
        <w:bidi w:val="0"/>
        <w:adjustRightInd/>
        <w:spacing w:line="640" w:lineRule="exact"/>
        <w:jc w:val="center"/>
        <w:textAlignment w:val="auto"/>
        <w:rPr>
          <w:rFonts w:hint="eastAsia"/>
          <w:color w:val="auto"/>
          <w:spacing w:val="0"/>
          <w:w w:val="100"/>
          <w:highlight w:val="none"/>
        </w:rPr>
      </w:pPr>
    </w:p>
    <w:p w14:paraId="374FFF3B">
      <w:pPr>
        <w:pStyle w:val="6"/>
        <w:keepNext w:val="0"/>
        <w:keepLines w:val="0"/>
        <w:pageBreakBefore w:val="0"/>
        <w:widowControl w:val="0"/>
        <w:kinsoku/>
        <w:wordWrap/>
        <w:overflowPunct/>
        <w:topLinePunct w:val="0"/>
        <w:autoSpaceDE/>
        <w:autoSpaceDN/>
        <w:bidi w:val="0"/>
        <w:adjustRightInd/>
        <w:spacing w:line="640" w:lineRule="exact"/>
        <w:jc w:val="center"/>
        <w:textAlignment w:val="auto"/>
        <w:rPr>
          <w:rFonts w:hint="eastAsia"/>
          <w:color w:val="auto"/>
          <w:spacing w:val="0"/>
          <w:w w:val="100"/>
          <w:highlight w:val="none"/>
        </w:rPr>
      </w:pPr>
    </w:p>
    <w:p w14:paraId="62EEA09F">
      <w:pPr>
        <w:pStyle w:val="6"/>
        <w:keepNext w:val="0"/>
        <w:keepLines w:val="0"/>
        <w:pageBreakBefore w:val="0"/>
        <w:widowControl w:val="0"/>
        <w:kinsoku/>
        <w:wordWrap/>
        <w:overflowPunct/>
        <w:topLinePunct w:val="0"/>
        <w:autoSpaceDE/>
        <w:autoSpaceDN/>
        <w:bidi w:val="0"/>
        <w:adjustRightInd/>
        <w:spacing w:line="640" w:lineRule="exact"/>
        <w:jc w:val="center"/>
        <w:textAlignment w:val="auto"/>
        <w:rPr>
          <w:rFonts w:hint="eastAsia"/>
          <w:color w:val="auto"/>
          <w:spacing w:val="0"/>
          <w:w w:val="100"/>
          <w:highlight w:val="none"/>
        </w:rPr>
      </w:pPr>
    </w:p>
    <w:p w14:paraId="7A3193F2">
      <w:pPr>
        <w:pStyle w:val="6"/>
        <w:keepNext w:val="0"/>
        <w:keepLines w:val="0"/>
        <w:pageBreakBefore w:val="0"/>
        <w:widowControl w:val="0"/>
        <w:kinsoku/>
        <w:wordWrap/>
        <w:overflowPunct/>
        <w:topLinePunct w:val="0"/>
        <w:autoSpaceDE/>
        <w:autoSpaceDN/>
        <w:bidi w:val="0"/>
        <w:adjustRightInd/>
        <w:spacing w:line="640" w:lineRule="exact"/>
        <w:jc w:val="center"/>
        <w:textAlignment w:val="auto"/>
        <w:rPr>
          <w:rFonts w:hint="eastAsia"/>
          <w:color w:val="auto"/>
          <w:spacing w:val="0"/>
          <w:w w:val="100"/>
          <w:highlight w:val="none"/>
        </w:rPr>
      </w:pPr>
    </w:p>
    <w:p w14:paraId="24F8BB32">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color w:val="auto"/>
          <w:spacing w:val="0"/>
          <w:w w:val="100"/>
          <w:highlight w:val="none"/>
        </w:rPr>
      </w:pPr>
    </w:p>
    <w:p w14:paraId="1ED1A77C">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color w:val="auto"/>
          <w:spacing w:val="0"/>
          <w:w w:val="100"/>
          <w:highlight w:val="none"/>
        </w:rPr>
      </w:pPr>
      <w:r>
        <w:rPr>
          <w:rFonts w:hint="eastAsia" w:ascii="宋体" w:hAnsi="宋体" w:eastAsia="宋体" w:cs="宋体"/>
          <w:color w:val="auto"/>
          <w:spacing w:val="0"/>
          <w:w w:val="100"/>
          <w:sz w:val="32"/>
          <w:szCs w:val="32"/>
          <w:highlight w:val="none"/>
        </w:rPr>
        <w:t>鄂尔多斯市地质调查监测院</w:t>
      </w:r>
    </w:p>
    <w:p w14:paraId="2579A8C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202</w:t>
      </w:r>
      <w:r>
        <w:rPr>
          <w:rFonts w:hint="eastAsia" w:ascii="宋体" w:hAnsi="宋体" w:eastAsia="宋体" w:cs="宋体"/>
          <w:color w:val="auto"/>
          <w:spacing w:val="0"/>
          <w:w w:val="100"/>
          <w:sz w:val="32"/>
          <w:szCs w:val="32"/>
          <w:highlight w:val="none"/>
          <w:lang w:val="en-US" w:eastAsia="zh-CN"/>
        </w:rPr>
        <w:t>4</w:t>
      </w:r>
      <w:r>
        <w:rPr>
          <w:rFonts w:hint="eastAsia" w:ascii="宋体" w:hAnsi="宋体" w:eastAsia="宋体" w:cs="宋体"/>
          <w:color w:val="auto"/>
          <w:spacing w:val="0"/>
          <w:w w:val="100"/>
          <w:sz w:val="32"/>
          <w:szCs w:val="32"/>
          <w:highlight w:val="none"/>
        </w:rPr>
        <w:t>年</w:t>
      </w:r>
      <w:r>
        <w:rPr>
          <w:rFonts w:hint="eastAsia" w:ascii="宋体" w:hAnsi="宋体" w:eastAsia="宋体" w:cs="宋体"/>
          <w:color w:val="auto"/>
          <w:spacing w:val="0"/>
          <w:w w:val="100"/>
          <w:sz w:val="32"/>
          <w:szCs w:val="32"/>
          <w:highlight w:val="none"/>
          <w:lang w:val="en-US" w:eastAsia="zh-CN"/>
        </w:rPr>
        <w:t>5</w:t>
      </w:r>
      <w:r>
        <w:rPr>
          <w:rFonts w:hint="eastAsia" w:ascii="宋体" w:hAnsi="宋体" w:eastAsia="宋体" w:cs="宋体"/>
          <w:color w:val="auto"/>
          <w:spacing w:val="0"/>
          <w:w w:val="100"/>
          <w:sz w:val="32"/>
          <w:szCs w:val="32"/>
          <w:highlight w:val="none"/>
        </w:rPr>
        <w:t>月</w:t>
      </w:r>
      <w:r>
        <w:rPr>
          <w:rFonts w:hint="eastAsia" w:ascii="宋体" w:hAnsi="宋体" w:eastAsia="宋体" w:cs="宋体"/>
          <w:color w:val="auto"/>
          <w:spacing w:val="0"/>
          <w:w w:val="100"/>
          <w:sz w:val="32"/>
          <w:szCs w:val="32"/>
          <w:highlight w:val="none"/>
          <w:lang w:val="en-US" w:eastAsia="zh-CN"/>
        </w:rPr>
        <w:t>28</w:t>
      </w:r>
      <w:r>
        <w:rPr>
          <w:rFonts w:hint="eastAsia" w:ascii="宋体" w:hAnsi="宋体" w:eastAsia="宋体" w:cs="宋体"/>
          <w:color w:val="auto"/>
          <w:spacing w:val="0"/>
          <w:w w:val="100"/>
          <w:sz w:val="32"/>
          <w:szCs w:val="32"/>
          <w:highlight w:val="none"/>
        </w:rPr>
        <w:t>日</w:t>
      </w:r>
    </w:p>
    <w:p w14:paraId="649AAE71">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560" w:lineRule="exact"/>
        <w:ind w:left="0"/>
        <w:jc w:val="center"/>
        <w:textAlignment w:val="auto"/>
        <w:outlineLvl w:val="0"/>
        <w:rPr>
          <w:rFonts w:hint="eastAsia" w:ascii="宋体" w:hAnsi="宋体" w:eastAsia="宋体" w:cs="宋体"/>
          <w:color w:val="auto"/>
          <w:spacing w:val="1280"/>
          <w:w w:val="100"/>
          <w:kern w:val="0"/>
          <w:sz w:val="32"/>
          <w:szCs w:val="32"/>
          <w:highlight w:val="none"/>
          <w:fitText w:val="1600" w:id="1056052510"/>
        </w:rPr>
        <w:sectPr>
          <w:pgSz w:w="11906" w:h="16838"/>
          <w:pgMar w:top="2098" w:right="1474" w:bottom="1984" w:left="1587" w:header="851" w:footer="992" w:gutter="0"/>
          <w:pgNumType w:fmt="decimal" w:start="0"/>
          <w:cols w:space="0" w:num="1"/>
          <w:rtlGutter w:val="0"/>
          <w:docGrid w:linePitch="326" w:charSpace="0"/>
        </w:sectPr>
      </w:pPr>
    </w:p>
    <w:p w14:paraId="1EF19031">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2041922112"/>
          <w:lang w:eastAsia="zh-CN"/>
        </w:rPr>
        <w:t>申报单</w:t>
      </w:r>
      <w:r>
        <w:rPr>
          <w:rFonts w:hint="eastAsia" w:ascii="宋体" w:hAnsi="宋体" w:eastAsia="宋体" w:cs="宋体"/>
          <w:color w:val="auto"/>
          <w:spacing w:val="1"/>
          <w:w w:val="100"/>
          <w:kern w:val="0"/>
          <w:sz w:val="32"/>
          <w:szCs w:val="32"/>
          <w:highlight w:val="none"/>
          <w:fitText w:val="1600" w:id="2041922112"/>
          <w:lang w:eastAsia="zh-CN"/>
        </w:rPr>
        <w:t>位</w:t>
      </w:r>
      <w:r>
        <w:rPr>
          <w:rFonts w:hint="eastAsia" w:ascii="宋体" w:hAnsi="宋体" w:eastAsia="宋体" w:cs="宋体"/>
          <w:bCs/>
          <w:color w:val="auto"/>
          <w:spacing w:val="0"/>
          <w:w w:val="100"/>
          <w:sz w:val="32"/>
          <w:szCs w:val="32"/>
          <w:highlight w:val="none"/>
          <w:lang w:eastAsia="zh-CN"/>
        </w:rPr>
        <w:t>：准格尔旗东孔兑镇何家塔村放牛窑神龙砂厂</w:t>
      </w:r>
    </w:p>
    <w:p w14:paraId="04EF582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2041922112"/>
          <w:lang w:eastAsia="zh-CN"/>
        </w:rPr>
        <w:t>编制单</w:t>
      </w:r>
      <w:r>
        <w:rPr>
          <w:rFonts w:hint="eastAsia" w:ascii="宋体" w:hAnsi="宋体" w:eastAsia="宋体" w:cs="宋体"/>
          <w:color w:val="auto"/>
          <w:spacing w:val="1"/>
          <w:w w:val="100"/>
          <w:kern w:val="0"/>
          <w:sz w:val="32"/>
          <w:szCs w:val="32"/>
          <w:highlight w:val="none"/>
          <w:fitText w:val="1600" w:id="2041922112"/>
          <w:lang w:eastAsia="zh-CN"/>
        </w:rPr>
        <w:t>位</w:t>
      </w:r>
      <w:r>
        <w:rPr>
          <w:rFonts w:hint="eastAsia" w:ascii="宋体" w:hAnsi="宋体" w:eastAsia="宋体" w:cs="宋体"/>
          <w:bCs/>
          <w:color w:val="auto"/>
          <w:spacing w:val="0"/>
          <w:w w:val="100"/>
          <w:sz w:val="32"/>
          <w:szCs w:val="32"/>
          <w:highlight w:val="none"/>
          <w:lang w:eastAsia="zh-CN"/>
        </w:rPr>
        <w:t>：呼和浩特市镕达工程技术有限公司</w:t>
      </w:r>
    </w:p>
    <w:p w14:paraId="7B22EDDB">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 xml:space="preserve">主要编写人：梁国喜  梁晓霞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 xml:space="preserve">刘树奎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张</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 xml:space="preserve">龙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赵淑英</w:t>
      </w:r>
    </w:p>
    <w:p w14:paraId="6DC178D4">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2041922112"/>
          <w:lang w:eastAsia="zh-CN"/>
        </w:rPr>
        <w:t>编制日</w:t>
      </w:r>
      <w:r>
        <w:rPr>
          <w:rFonts w:hint="eastAsia" w:ascii="宋体" w:hAnsi="宋体" w:eastAsia="宋体" w:cs="宋体"/>
          <w:color w:val="auto"/>
          <w:spacing w:val="1"/>
          <w:w w:val="100"/>
          <w:kern w:val="0"/>
          <w:sz w:val="32"/>
          <w:szCs w:val="32"/>
          <w:highlight w:val="none"/>
          <w:fitText w:val="1600" w:id="2041922112"/>
          <w:lang w:eastAsia="zh-CN"/>
        </w:rPr>
        <w:t>期</w:t>
      </w:r>
      <w:r>
        <w:rPr>
          <w:rFonts w:hint="eastAsia" w:ascii="宋体" w:hAnsi="宋体" w:eastAsia="宋体" w:cs="宋体"/>
          <w:bCs/>
          <w:color w:val="auto"/>
          <w:spacing w:val="0"/>
          <w:w w:val="100"/>
          <w:sz w:val="32"/>
          <w:szCs w:val="32"/>
          <w:highlight w:val="none"/>
          <w:lang w:eastAsia="zh-CN"/>
        </w:rPr>
        <w:t>：202</w:t>
      </w:r>
      <w:r>
        <w:rPr>
          <w:rFonts w:hint="eastAsia" w:ascii="宋体" w:hAnsi="宋体" w:eastAsia="宋体" w:cs="宋体"/>
          <w:bCs/>
          <w:color w:val="auto"/>
          <w:spacing w:val="0"/>
          <w:w w:val="100"/>
          <w:sz w:val="32"/>
          <w:szCs w:val="32"/>
          <w:highlight w:val="none"/>
          <w:lang w:val="en-US" w:eastAsia="zh-CN"/>
        </w:rPr>
        <w:t>5</w:t>
      </w:r>
      <w:r>
        <w:rPr>
          <w:rFonts w:hint="eastAsia" w:ascii="宋体" w:hAnsi="宋体" w:eastAsia="宋体" w:cs="宋体"/>
          <w:bCs/>
          <w:color w:val="auto"/>
          <w:spacing w:val="0"/>
          <w:w w:val="100"/>
          <w:sz w:val="32"/>
          <w:szCs w:val="32"/>
          <w:highlight w:val="none"/>
          <w:lang w:eastAsia="zh-CN"/>
        </w:rPr>
        <w:t>年</w:t>
      </w:r>
      <w:r>
        <w:rPr>
          <w:rFonts w:hint="eastAsia" w:ascii="宋体" w:hAnsi="宋体" w:eastAsia="宋体" w:cs="宋体"/>
          <w:bCs/>
          <w:color w:val="auto"/>
          <w:spacing w:val="0"/>
          <w:w w:val="100"/>
          <w:sz w:val="32"/>
          <w:szCs w:val="32"/>
          <w:highlight w:val="none"/>
          <w:lang w:val="en-US" w:eastAsia="zh-CN"/>
        </w:rPr>
        <w:t>3</w:t>
      </w:r>
      <w:r>
        <w:rPr>
          <w:rFonts w:hint="eastAsia" w:ascii="宋体" w:hAnsi="宋体" w:eastAsia="宋体" w:cs="宋体"/>
          <w:bCs/>
          <w:color w:val="auto"/>
          <w:spacing w:val="0"/>
          <w:w w:val="100"/>
          <w:sz w:val="32"/>
          <w:szCs w:val="32"/>
          <w:highlight w:val="none"/>
          <w:lang w:eastAsia="zh-CN"/>
        </w:rPr>
        <w:t>月</w:t>
      </w:r>
    </w:p>
    <w:p w14:paraId="1BE8BD9D">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2041922112"/>
          <w:lang w:val="en-US" w:eastAsia="zh-CN"/>
        </w:rPr>
        <w:t>受理日</w:t>
      </w:r>
      <w:r>
        <w:rPr>
          <w:rFonts w:hint="eastAsia" w:ascii="宋体" w:hAnsi="宋体" w:eastAsia="宋体" w:cs="宋体"/>
          <w:color w:val="auto"/>
          <w:spacing w:val="1"/>
          <w:w w:val="100"/>
          <w:kern w:val="0"/>
          <w:sz w:val="32"/>
          <w:szCs w:val="32"/>
          <w:highlight w:val="none"/>
          <w:fitText w:val="1600" w:id="2041922112"/>
          <w:lang w:val="en-US" w:eastAsia="zh-CN"/>
        </w:rPr>
        <w:t>期</w:t>
      </w:r>
      <w:r>
        <w:rPr>
          <w:rFonts w:hint="eastAsia" w:ascii="宋体" w:hAnsi="宋体" w:eastAsia="宋体" w:cs="宋体"/>
          <w:bCs/>
          <w:color w:val="auto"/>
          <w:spacing w:val="0"/>
          <w:w w:val="100"/>
          <w:sz w:val="32"/>
          <w:szCs w:val="32"/>
          <w:highlight w:val="none"/>
          <w:lang w:val="en-US" w:eastAsia="zh-CN"/>
        </w:rPr>
        <w:t>：</w:t>
      </w:r>
      <w:r>
        <w:rPr>
          <w:rFonts w:hint="eastAsia" w:ascii="宋体" w:hAnsi="宋体" w:eastAsia="宋体" w:cs="宋体"/>
          <w:bCs/>
          <w:color w:val="auto"/>
          <w:spacing w:val="0"/>
          <w:w w:val="100"/>
          <w:sz w:val="32"/>
          <w:szCs w:val="32"/>
          <w:highlight w:val="none"/>
          <w:lang w:eastAsia="zh-CN"/>
        </w:rPr>
        <w:t>2025年4月</w:t>
      </w:r>
      <w:r>
        <w:rPr>
          <w:rFonts w:hint="eastAsia" w:ascii="宋体" w:hAnsi="宋体" w:eastAsia="宋体" w:cs="宋体"/>
          <w:bCs/>
          <w:color w:val="auto"/>
          <w:spacing w:val="0"/>
          <w:w w:val="100"/>
          <w:sz w:val="32"/>
          <w:szCs w:val="32"/>
          <w:highlight w:val="none"/>
          <w:lang w:val="en-US" w:eastAsia="zh-CN"/>
        </w:rPr>
        <w:t>3</w:t>
      </w:r>
      <w:r>
        <w:rPr>
          <w:rFonts w:hint="eastAsia" w:ascii="宋体" w:hAnsi="宋体" w:eastAsia="宋体" w:cs="宋体"/>
          <w:bCs/>
          <w:color w:val="auto"/>
          <w:spacing w:val="0"/>
          <w:w w:val="100"/>
          <w:sz w:val="32"/>
          <w:szCs w:val="32"/>
          <w:highlight w:val="none"/>
          <w:lang w:eastAsia="zh-CN"/>
        </w:rPr>
        <w:t>日</w:t>
      </w:r>
    </w:p>
    <w:p w14:paraId="0905460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160"/>
          <w:w w:val="100"/>
          <w:kern w:val="0"/>
          <w:sz w:val="32"/>
          <w:szCs w:val="32"/>
          <w:highlight w:val="none"/>
          <w:fitText w:val="1600" w:id="1407396300"/>
          <w:lang w:val="en-US" w:eastAsia="zh-CN" w:bidi="ar-SA"/>
        </w:rPr>
        <w:t>汇报</w:t>
      </w:r>
      <w:r>
        <w:rPr>
          <w:rFonts w:hint="eastAsia" w:ascii="宋体" w:hAnsi="宋体" w:eastAsia="宋体" w:cs="宋体"/>
          <w:color w:val="auto"/>
          <w:spacing w:val="0"/>
          <w:w w:val="100"/>
          <w:kern w:val="0"/>
          <w:sz w:val="32"/>
          <w:szCs w:val="32"/>
          <w:highlight w:val="none"/>
          <w:fitText w:val="1600" w:id="1407396300"/>
          <w:lang w:val="en-US" w:eastAsia="zh-CN" w:bidi="ar-SA"/>
        </w:rPr>
        <w:t>人</w:t>
      </w:r>
      <w:r>
        <w:rPr>
          <w:rFonts w:hint="eastAsia" w:ascii="宋体" w:hAnsi="宋体" w:eastAsia="宋体" w:cs="宋体"/>
          <w:color w:val="auto"/>
          <w:spacing w:val="0"/>
          <w:w w:val="100"/>
          <w:kern w:val="0"/>
          <w:sz w:val="32"/>
          <w:szCs w:val="32"/>
          <w:highlight w:val="none"/>
          <w:lang w:val="en-US" w:eastAsia="zh-CN" w:bidi="ar-SA"/>
        </w:rPr>
        <w:t>：</w:t>
      </w:r>
      <w:r>
        <w:rPr>
          <w:rFonts w:hint="eastAsia" w:ascii="宋体" w:hAnsi="宋体" w:eastAsia="宋体" w:cs="宋体"/>
          <w:bCs/>
          <w:color w:val="auto"/>
          <w:spacing w:val="0"/>
          <w:w w:val="100"/>
          <w:sz w:val="32"/>
          <w:szCs w:val="32"/>
          <w:highlight w:val="none"/>
          <w:lang w:eastAsia="zh-CN"/>
        </w:rPr>
        <w:t>梁晓霞</w:t>
      </w:r>
    </w:p>
    <w:p w14:paraId="7A808F04">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审查专家组：</w:t>
      </w:r>
    </w:p>
    <w:p w14:paraId="288F0C38">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 xml:space="preserve">    组</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 xml:space="preserve"> 长：袁龙建（采矿）</w:t>
      </w:r>
    </w:p>
    <w:p w14:paraId="3FDB1544">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 xml:space="preserve">成 </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员：贾玉峰（地质矿产）  马文学（水工环）</w:t>
      </w:r>
    </w:p>
    <w:p w14:paraId="3702D314">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6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闫宝宝（选矿）      王海军（土地复垦）</w:t>
      </w:r>
    </w:p>
    <w:p w14:paraId="1FE455CE">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6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王小江（林学生态）  宋利军（经济管理）</w:t>
      </w:r>
    </w:p>
    <w:p w14:paraId="48648749">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2041922112"/>
          <w:lang w:eastAsia="zh-CN"/>
        </w:rPr>
        <w:t>审查方</w:t>
      </w:r>
      <w:r>
        <w:rPr>
          <w:rFonts w:hint="eastAsia" w:ascii="宋体" w:hAnsi="宋体" w:eastAsia="宋体" w:cs="宋体"/>
          <w:color w:val="auto"/>
          <w:spacing w:val="1"/>
          <w:w w:val="100"/>
          <w:kern w:val="0"/>
          <w:sz w:val="32"/>
          <w:szCs w:val="32"/>
          <w:highlight w:val="none"/>
          <w:fitText w:val="1600" w:id="2041922112"/>
          <w:lang w:eastAsia="zh-CN"/>
        </w:rPr>
        <w:t>式</w:t>
      </w:r>
      <w:r>
        <w:rPr>
          <w:rFonts w:hint="eastAsia" w:ascii="宋体" w:hAnsi="宋体" w:eastAsia="宋体" w:cs="宋体"/>
          <w:bCs/>
          <w:color w:val="auto"/>
          <w:spacing w:val="0"/>
          <w:w w:val="100"/>
          <w:sz w:val="32"/>
          <w:szCs w:val="32"/>
          <w:highlight w:val="none"/>
          <w:lang w:eastAsia="zh-CN"/>
        </w:rPr>
        <w:t>：会议审查</w:t>
      </w:r>
    </w:p>
    <w:p w14:paraId="17E5A9E9">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2041922112"/>
          <w:lang w:eastAsia="zh-CN"/>
        </w:rPr>
        <w:t>审查日</w:t>
      </w:r>
      <w:r>
        <w:rPr>
          <w:rFonts w:hint="eastAsia" w:ascii="宋体" w:hAnsi="宋体" w:eastAsia="宋体" w:cs="宋体"/>
          <w:color w:val="auto"/>
          <w:spacing w:val="1"/>
          <w:w w:val="100"/>
          <w:kern w:val="0"/>
          <w:sz w:val="32"/>
          <w:szCs w:val="32"/>
          <w:highlight w:val="none"/>
          <w:fitText w:val="1600" w:id="2041922112"/>
          <w:lang w:eastAsia="zh-CN"/>
        </w:rPr>
        <w:t>期</w:t>
      </w:r>
      <w:r>
        <w:rPr>
          <w:rFonts w:hint="eastAsia" w:ascii="宋体" w:hAnsi="宋体" w:eastAsia="宋体" w:cs="宋体"/>
          <w:bCs/>
          <w:color w:val="auto"/>
          <w:spacing w:val="0"/>
          <w:w w:val="100"/>
          <w:sz w:val="32"/>
          <w:szCs w:val="32"/>
          <w:highlight w:val="none"/>
          <w:lang w:eastAsia="zh-CN"/>
        </w:rPr>
        <w:t>：2025年4月14日</w:t>
      </w:r>
    </w:p>
    <w:p w14:paraId="0B1F0F2E">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0"/>
          <w:w w:val="100"/>
          <w:sz w:val="32"/>
          <w:szCs w:val="32"/>
          <w:highlight w:val="none"/>
          <w:lang w:eastAsia="zh-CN"/>
        </w:rPr>
        <w:t>复核会时间：</w:t>
      </w:r>
      <w:r>
        <w:rPr>
          <w:rFonts w:hint="eastAsia" w:ascii="宋体" w:hAnsi="宋体" w:eastAsia="宋体" w:cs="宋体"/>
          <w:bCs/>
          <w:color w:val="auto"/>
          <w:spacing w:val="0"/>
          <w:w w:val="100"/>
          <w:sz w:val="32"/>
          <w:szCs w:val="32"/>
          <w:highlight w:val="none"/>
          <w:lang w:eastAsia="zh-CN"/>
        </w:rPr>
        <w:t>202</w:t>
      </w:r>
      <w:r>
        <w:rPr>
          <w:rFonts w:hint="eastAsia" w:ascii="宋体" w:hAnsi="宋体" w:eastAsia="宋体" w:cs="宋体"/>
          <w:bCs/>
          <w:color w:val="auto"/>
          <w:spacing w:val="0"/>
          <w:w w:val="100"/>
          <w:sz w:val="32"/>
          <w:szCs w:val="32"/>
          <w:highlight w:val="none"/>
          <w:lang w:val="en-US" w:eastAsia="zh-CN"/>
        </w:rPr>
        <w:t>5</w:t>
      </w:r>
      <w:r>
        <w:rPr>
          <w:rFonts w:hint="eastAsia" w:ascii="宋体" w:hAnsi="宋体" w:eastAsia="宋体" w:cs="宋体"/>
          <w:bCs/>
          <w:color w:val="auto"/>
          <w:spacing w:val="0"/>
          <w:w w:val="100"/>
          <w:sz w:val="32"/>
          <w:szCs w:val="32"/>
          <w:highlight w:val="none"/>
          <w:lang w:eastAsia="zh-CN"/>
        </w:rPr>
        <w:t>年</w:t>
      </w:r>
      <w:r>
        <w:rPr>
          <w:rFonts w:hint="eastAsia" w:ascii="宋体" w:hAnsi="宋体" w:eastAsia="宋体" w:cs="宋体"/>
          <w:bCs/>
          <w:color w:val="auto"/>
          <w:spacing w:val="0"/>
          <w:w w:val="100"/>
          <w:sz w:val="32"/>
          <w:szCs w:val="32"/>
          <w:highlight w:val="none"/>
          <w:lang w:val="en-US" w:eastAsia="zh-CN"/>
        </w:rPr>
        <w:t>5</w:t>
      </w:r>
      <w:r>
        <w:rPr>
          <w:rFonts w:hint="eastAsia" w:ascii="宋体" w:hAnsi="宋体" w:eastAsia="宋体" w:cs="宋体"/>
          <w:bCs/>
          <w:color w:val="auto"/>
          <w:spacing w:val="0"/>
          <w:w w:val="100"/>
          <w:sz w:val="32"/>
          <w:szCs w:val="32"/>
          <w:highlight w:val="none"/>
          <w:lang w:eastAsia="zh-CN"/>
        </w:rPr>
        <w:t>月</w:t>
      </w:r>
      <w:r>
        <w:rPr>
          <w:rFonts w:hint="eastAsia" w:ascii="宋体" w:hAnsi="宋体" w:eastAsia="宋体" w:cs="宋体"/>
          <w:bCs/>
          <w:color w:val="auto"/>
          <w:spacing w:val="0"/>
          <w:w w:val="100"/>
          <w:sz w:val="32"/>
          <w:szCs w:val="32"/>
          <w:highlight w:val="none"/>
          <w:lang w:val="en-US" w:eastAsia="zh-CN"/>
        </w:rPr>
        <w:t>28</w:t>
      </w:r>
      <w:r>
        <w:rPr>
          <w:rFonts w:hint="eastAsia" w:ascii="宋体" w:hAnsi="宋体" w:eastAsia="宋体" w:cs="宋体"/>
          <w:bCs/>
          <w:color w:val="auto"/>
          <w:spacing w:val="0"/>
          <w:w w:val="100"/>
          <w:sz w:val="32"/>
          <w:szCs w:val="32"/>
          <w:highlight w:val="none"/>
          <w:lang w:eastAsia="zh-CN"/>
        </w:rPr>
        <w:t>日</w:t>
      </w:r>
    </w:p>
    <w:p w14:paraId="63622A94">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kern w:val="2"/>
          <w:sz w:val="28"/>
          <w:szCs w:val="28"/>
        </w:rPr>
      </w:pPr>
      <w:r>
        <w:rPr>
          <w:rFonts w:hint="eastAsia" w:ascii="宋体" w:hAnsi="宋体" w:eastAsia="宋体" w:cs="宋体"/>
          <w:color w:val="auto"/>
          <w:spacing w:val="53"/>
          <w:w w:val="100"/>
          <w:kern w:val="0"/>
          <w:sz w:val="32"/>
          <w:szCs w:val="32"/>
          <w:highlight w:val="none"/>
          <w:fitText w:val="1600" w:id="661721894"/>
          <w:lang w:eastAsia="zh-CN"/>
        </w:rPr>
        <w:t>审查地</w:t>
      </w:r>
      <w:r>
        <w:rPr>
          <w:rFonts w:hint="eastAsia" w:ascii="宋体" w:hAnsi="宋体" w:eastAsia="宋体" w:cs="宋体"/>
          <w:color w:val="auto"/>
          <w:spacing w:val="1"/>
          <w:w w:val="100"/>
          <w:kern w:val="0"/>
          <w:sz w:val="32"/>
          <w:szCs w:val="32"/>
          <w:highlight w:val="none"/>
          <w:fitText w:val="1600" w:id="661721894"/>
          <w:lang w:eastAsia="zh-CN"/>
        </w:rPr>
        <w:t>点</w:t>
      </w:r>
      <w:r>
        <w:rPr>
          <w:rFonts w:hint="eastAsia" w:ascii="宋体" w:hAnsi="宋体" w:eastAsia="宋体" w:cs="宋体"/>
          <w:bCs/>
          <w:color w:val="auto"/>
          <w:spacing w:val="0"/>
          <w:w w:val="100"/>
          <w:sz w:val="32"/>
          <w:szCs w:val="32"/>
          <w:highlight w:val="none"/>
          <w:lang w:eastAsia="zh-CN"/>
        </w:rPr>
        <w:t>：呼和浩特市</w:t>
      </w:r>
    </w:p>
    <w:p w14:paraId="01FB189A">
      <w:pPr>
        <w:pStyle w:val="3"/>
        <w:spacing w:before="156" w:after="156"/>
        <w:ind w:firstLine="0"/>
        <w:rPr>
          <w:rFonts w:hint="eastAsia" w:ascii="宋体" w:hAnsi="宋体" w:eastAsia="宋体" w:cs="宋体"/>
          <w:kern w:val="2"/>
          <w:sz w:val="28"/>
          <w:szCs w:val="28"/>
        </w:rPr>
      </w:pPr>
    </w:p>
    <w:p w14:paraId="2E18BA29">
      <w:pPr>
        <w:pStyle w:val="3"/>
        <w:spacing w:before="156" w:after="156"/>
        <w:ind w:firstLine="360"/>
        <w:jc w:val="center"/>
        <w:rPr>
          <w:rFonts w:hint="eastAsia" w:ascii="宋体" w:hAnsi="宋体" w:eastAsia="宋体" w:cs="宋体"/>
          <w:kern w:val="2"/>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851" w:footer="992" w:gutter="0"/>
          <w:pgNumType w:start="1"/>
          <w:cols w:space="0" w:num="1"/>
          <w:rtlGutter w:val="0"/>
          <w:docGrid w:type="lines" w:linePitch="312" w:charSpace="0"/>
        </w:sectPr>
      </w:pPr>
    </w:p>
    <w:p w14:paraId="16DDF190">
      <w:pPr>
        <w:keepNext w:val="0"/>
        <w:keepLines w:val="0"/>
        <w:pageBreakBefore w:val="0"/>
        <w:widowControl w:val="0"/>
        <w:kinsoku/>
        <w:wordWrap/>
        <w:overflowPunct/>
        <w:topLinePunct w:val="0"/>
        <w:autoSpaceDE/>
        <w:autoSpaceDN/>
        <w:bidi w:val="0"/>
        <w:snapToGrid/>
        <w:spacing w:line="554" w:lineRule="exact"/>
        <w:ind w:firstLine="560" w:firstLineChars="200"/>
        <w:textAlignment w:val="auto"/>
        <w:rPr>
          <w:rStyle w:val="21"/>
          <w:rFonts w:hint="eastAsia" w:ascii="宋体" w:hAnsi="宋体" w:eastAsia="宋体" w:cs="宋体"/>
          <w:bCs/>
          <w:color w:val="000000" w:themeColor="text1"/>
          <w:sz w:val="28"/>
          <w:szCs w:val="28"/>
          <w:lang w:val="zh-CN"/>
          <w14:textFill>
            <w14:solidFill>
              <w14:schemeClr w14:val="tx1"/>
            </w14:solidFill>
          </w14:textFill>
        </w:rPr>
      </w:pPr>
      <w:r>
        <w:rPr>
          <w:rFonts w:hint="eastAsia" w:ascii="宋体" w:hAnsi="宋体" w:eastAsia="宋体" w:cs="宋体"/>
          <w:sz w:val="28"/>
          <w:szCs w:val="28"/>
        </w:rPr>
        <w:t>准格尔旗东孔兑镇何家塔村放牛窑神龙砂厂为办理所属的建筑用砂矿采矿权扩大矿区范围，申请矿产资源开发利用与保护总体方案审查。鄂尔多斯市地质调查监测院于2025年4月14日在呼和浩特市组织专家，依据原内蒙古自治区国土资源厅《关于普</w:t>
      </w:r>
      <w:r>
        <w:rPr>
          <w:rFonts w:hint="eastAsia" w:ascii="宋体" w:hAnsi="宋体" w:eastAsia="宋体" w:cs="宋体"/>
          <w:sz w:val="28"/>
          <w:szCs w:val="28"/>
          <w:lang w:eastAsia="zh-CN"/>
        </w:rPr>
        <w:t>通</w:t>
      </w:r>
      <w:r>
        <w:rPr>
          <w:rFonts w:hint="eastAsia" w:ascii="宋体" w:hAnsi="宋体" w:eastAsia="宋体" w:cs="宋体"/>
          <w:sz w:val="28"/>
          <w:szCs w:val="28"/>
        </w:rPr>
        <w:t>建筑材料用砂、石、粘土矿采矿权简化审批的指导意见》（内国土资字〔2015〕483号）、《内蒙古自治区自然资源厅关于规范和完善砂石土开采管理的通知》（内自然资字〔2024〕11号）要求，参考《自然资源部关于印发矿产资源（非油气）开发利用方案编制指南的通知》（自然资办发〔2024〕33号），对准格尔旗东孔兑镇何家塔村放牛窑神龙砂厂提交、呼和浩特市镕达工程技术有限公司编制的《准格尔旗东孔兑镇何家塔村放牛窑神龙砂厂建筑用砂矿矿产资源开发利用与保护总体方案》（以下简称《总体方案》）进行了审查。专家组在阅读报告、查阅有关图纸资料、听取介绍、质疑和讨论的基础上，形成仅供矿业权管理使用的审查意见如下：</w:t>
      </w:r>
    </w:p>
    <w:p w14:paraId="53323181">
      <w:pPr>
        <w:keepNext w:val="0"/>
        <w:keepLines w:val="0"/>
        <w:pageBreakBefore w:val="0"/>
        <w:widowControl w:val="0"/>
        <w:numPr>
          <w:ilvl w:val="0"/>
          <w:numId w:val="2"/>
        </w:numPr>
        <w:tabs>
          <w:tab w:val="left" w:pos="0"/>
        </w:tabs>
        <w:kinsoku/>
        <w:wordWrap/>
        <w:overflowPunct/>
        <w:topLinePunct w:val="0"/>
        <w:autoSpaceDE/>
        <w:autoSpaceDN/>
        <w:bidi w:val="0"/>
        <w:adjustRightInd w:val="0"/>
        <w:snapToGrid/>
        <w:spacing w:line="554"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方案编写能力的审查</w:t>
      </w:r>
    </w:p>
    <w:p w14:paraId="4EF109BD">
      <w:pPr>
        <w:keepNext w:val="0"/>
        <w:keepLines w:val="0"/>
        <w:pageBreakBefore w:val="0"/>
        <w:widowControl w:val="0"/>
        <w:kinsoku/>
        <w:wordWrap/>
        <w:overflowPunct/>
        <w:topLinePunct w:val="0"/>
        <w:autoSpaceDE/>
        <w:autoSpaceDN/>
        <w:bidi w:val="0"/>
        <w:snapToGrid/>
        <w:spacing w:line="554"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总体方案》编制单位呼和浩特市镕达工程技术有限公司成立于2016年2月1日，经营范围包括矿产资源开发、规划、利用及矿山地质环境保护与治理等，项目负责人梁国喜为采矿专业高级工程师，具备矿产资源开发利用与保护总体方案的编制能力。</w:t>
      </w:r>
    </w:p>
    <w:p w14:paraId="29FAC1A1">
      <w:pPr>
        <w:keepNext w:val="0"/>
        <w:keepLines w:val="0"/>
        <w:pageBreakBefore w:val="0"/>
        <w:widowControl w:val="0"/>
        <w:numPr>
          <w:ilvl w:val="0"/>
          <w:numId w:val="2"/>
        </w:numPr>
        <w:tabs>
          <w:tab w:val="left" w:pos="0"/>
        </w:tabs>
        <w:kinsoku/>
        <w:wordWrap/>
        <w:overflowPunct/>
        <w:topLinePunct w:val="0"/>
        <w:autoSpaceDE/>
        <w:autoSpaceDN/>
        <w:bidi w:val="0"/>
        <w:adjustRightInd w:val="0"/>
        <w:snapToGrid/>
        <w:spacing w:line="554"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开采储量确定的合理性审查</w:t>
      </w:r>
    </w:p>
    <w:p w14:paraId="694BA2E6">
      <w:pPr>
        <w:keepNext w:val="0"/>
        <w:keepLines w:val="0"/>
        <w:pageBreakBefore w:val="0"/>
        <w:widowControl w:val="0"/>
        <w:kinsoku/>
        <w:wordWrap/>
        <w:overflowPunct/>
        <w:topLinePunct w:val="0"/>
        <w:autoSpaceDE/>
        <w:autoSpaceDN/>
        <w:bidi w:val="0"/>
        <w:snapToGrid/>
        <w:spacing w:line="554"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总体方案》编制依据的《内蒙古自治区准格尔旗东孔兑镇何家塔村放牛窑神龙砂厂矿区建筑用砂矿资源储量核实报告》已于2023年9月8日经鄂尔多斯市地质调查监测院评审通过（鄂自然资储评字〔2023〕19号），并于2023年11月7日在鄂尔多斯市自然资源局备案（鄂自然资储备字〔2023〕19号）。地质工作达到详查程度，可以作为《总体方案》的编制依据。</w:t>
      </w:r>
    </w:p>
    <w:p w14:paraId="24DF0F90">
      <w:pPr>
        <w:keepNext w:val="0"/>
        <w:keepLines w:val="0"/>
        <w:pageBreakBefore w:val="0"/>
        <w:widowControl w:val="0"/>
        <w:kinsoku/>
        <w:wordWrap/>
        <w:overflowPunct/>
        <w:topLinePunct w:val="0"/>
        <w:autoSpaceDE/>
        <w:autoSpaceDN/>
        <w:bidi w:val="0"/>
        <w:snapToGrid/>
        <w:spacing w:line="554"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《总体方案》中矿业权人确定申请的采矿权范围包含资源量估算范围，符合国家关于矿产资源开采限制、禁止要求等准入条件。</w:t>
      </w:r>
    </w:p>
    <w:p w14:paraId="79189818">
      <w:pPr>
        <w:keepNext w:val="0"/>
        <w:keepLines w:val="0"/>
        <w:pageBreakBefore w:val="0"/>
        <w:widowControl w:val="0"/>
        <w:kinsoku/>
        <w:wordWrap/>
        <w:overflowPunct/>
        <w:topLinePunct w:val="0"/>
        <w:autoSpaceDE/>
        <w:autoSpaceDN/>
        <w:bidi w:val="0"/>
        <w:snapToGrid/>
        <w:spacing w:line="554"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截至2022年4月30日，</w:t>
      </w:r>
      <w:r>
        <w:rPr>
          <w:rFonts w:hint="eastAsia" w:ascii="宋体" w:hAnsi="宋体" w:eastAsia="宋体" w:cs="宋体"/>
          <w:color w:val="000000"/>
          <w:sz w:val="28"/>
          <w:szCs w:val="28"/>
        </w:rPr>
        <w:t>矿区范围内查明资</w:t>
      </w:r>
      <w:r>
        <w:rPr>
          <w:rFonts w:hint="eastAsia" w:ascii="宋体" w:hAnsi="宋体" w:eastAsia="宋体" w:cs="宋体"/>
          <w:color w:val="000000"/>
          <w:sz w:val="28"/>
          <w:szCs w:val="28"/>
          <w:highlight w:val="none"/>
        </w:rPr>
        <w:t>源量992.7×</w:t>
      </w:r>
      <w:r>
        <w:rPr>
          <w:rFonts w:hint="eastAsia" w:ascii="宋体" w:hAnsi="宋体" w:eastAsia="宋体" w:cs="宋体"/>
          <w:color w:val="000000"/>
          <w:sz w:val="28"/>
          <w:szCs w:val="28"/>
          <w:highlight w:val="none"/>
          <w:lang w:val="en-US" w:eastAsia="zh-CN"/>
        </w:rPr>
        <w:t>10</w:t>
      </w:r>
      <w:r>
        <w:rPr>
          <w:rFonts w:hint="eastAsia" w:ascii="宋体" w:hAnsi="宋体" w:eastAsia="宋体" w:cs="宋体"/>
          <w:color w:val="000000"/>
          <w:sz w:val="28"/>
          <w:szCs w:val="28"/>
          <w:highlight w:val="none"/>
          <w:vertAlign w:val="superscript"/>
          <w:lang w:val="en-US" w:eastAsia="zh-CN"/>
        </w:rPr>
        <w:t>4</w:t>
      </w:r>
      <w:r>
        <w:rPr>
          <w:rFonts w:hint="eastAsia" w:ascii="宋体" w:hAnsi="宋体" w:eastAsia="宋体" w:cs="宋体"/>
          <w:color w:val="000000"/>
          <w:sz w:val="28"/>
          <w:szCs w:val="28"/>
          <w:highlight w:val="none"/>
        </w:rPr>
        <w:t>m</w:t>
      </w:r>
      <w:r>
        <w:rPr>
          <w:rFonts w:hint="eastAsia" w:ascii="宋体" w:hAnsi="宋体" w:eastAsia="宋体" w:cs="宋体"/>
          <w:color w:val="000000"/>
          <w:sz w:val="28"/>
          <w:szCs w:val="28"/>
          <w:highlight w:val="none"/>
          <w:vertAlign w:val="superscript"/>
        </w:rPr>
        <w:t>3</w:t>
      </w:r>
      <w:r>
        <w:rPr>
          <w:rFonts w:hint="eastAsia" w:ascii="宋体" w:hAnsi="宋体" w:eastAsia="宋体" w:cs="宋体"/>
          <w:color w:val="000000"/>
          <w:sz w:val="28"/>
          <w:szCs w:val="28"/>
          <w:highlight w:val="none"/>
          <w:lang w:eastAsia="zh-CN"/>
        </w:rPr>
        <w:t>，</w:t>
      </w:r>
      <w:r>
        <w:rPr>
          <w:rFonts w:hint="eastAsia" w:ascii="宋体" w:hAnsi="宋体" w:eastAsia="宋体" w:cs="宋体"/>
          <w:color w:val="000000"/>
          <w:sz w:val="28"/>
          <w:szCs w:val="28"/>
          <w:highlight w:val="none"/>
        </w:rPr>
        <w:t>消耗资源量440.1×</w:t>
      </w:r>
      <w:r>
        <w:rPr>
          <w:rFonts w:hint="eastAsia" w:ascii="宋体" w:hAnsi="宋体" w:eastAsia="宋体" w:cs="宋体"/>
          <w:color w:val="000000"/>
          <w:sz w:val="28"/>
          <w:szCs w:val="28"/>
          <w:highlight w:val="none"/>
          <w:lang w:val="en-US" w:eastAsia="zh-CN"/>
        </w:rPr>
        <w:t>10</w:t>
      </w:r>
      <w:r>
        <w:rPr>
          <w:rFonts w:hint="eastAsia" w:ascii="宋体" w:hAnsi="宋体" w:eastAsia="宋体" w:cs="宋体"/>
          <w:color w:val="000000"/>
          <w:sz w:val="28"/>
          <w:szCs w:val="28"/>
          <w:highlight w:val="none"/>
          <w:vertAlign w:val="superscript"/>
          <w:lang w:val="en-US" w:eastAsia="zh-CN"/>
        </w:rPr>
        <w:t>4</w:t>
      </w:r>
      <w:r>
        <w:rPr>
          <w:rFonts w:hint="eastAsia" w:ascii="宋体" w:hAnsi="宋体" w:eastAsia="宋体" w:cs="宋体"/>
          <w:color w:val="000000"/>
          <w:sz w:val="28"/>
          <w:szCs w:val="28"/>
          <w:highlight w:val="none"/>
        </w:rPr>
        <w:t>m</w:t>
      </w:r>
      <w:r>
        <w:rPr>
          <w:rFonts w:hint="eastAsia" w:ascii="宋体" w:hAnsi="宋体" w:eastAsia="宋体" w:cs="宋体"/>
          <w:color w:val="000000"/>
          <w:sz w:val="28"/>
          <w:szCs w:val="28"/>
          <w:highlight w:val="none"/>
          <w:vertAlign w:val="superscript"/>
        </w:rPr>
        <w:t>3</w:t>
      </w:r>
      <w:r>
        <w:rPr>
          <w:rFonts w:hint="eastAsia" w:ascii="宋体" w:hAnsi="宋体" w:eastAsia="宋体" w:cs="宋体"/>
          <w:color w:val="000000"/>
          <w:sz w:val="28"/>
          <w:szCs w:val="28"/>
          <w:highlight w:val="none"/>
          <w:lang w:eastAsia="zh-CN"/>
        </w:rPr>
        <w:t>，</w:t>
      </w:r>
      <w:r>
        <w:rPr>
          <w:rFonts w:hint="eastAsia" w:ascii="宋体" w:hAnsi="宋体" w:eastAsia="宋体" w:cs="宋体"/>
          <w:color w:val="000000"/>
          <w:sz w:val="28"/>
          <w:szCs w:val="28"/>
          <w:highlight w:val="none"/>
        </w:rPr>
        <w:t>保有资源量552.6×</w:t>
      </w:r>
      <w:r>
        <w:rPr>
          <w:rFonts w:hint="eastAsia" w:ascii="宋体" w:hAnsi="宋体" w:eastAsia="宋体" w:cs="宋体"/>
          <w:color w:val="000000"/>
          <w:sz w:val="28"/>
          <w:szCs w:val="28"/>
          <w:highlight w:val="none"/>
          <w:lang w:val="en-US" w:eastAsia="zh-CN"/>
        </w:rPr>
        <w:t>10</w:t>
      </w:r>
      <w:r>
        <w:rPr>
          <w:rFonts w:hint="eastAsia" w:ascii="宋体" w:hAnsi="宋体" w:eastAsia="宋体" w:cs="宋体"/>
          <w:color w:val="000000"/>
          <w:sz w:val="28"/>
          <w:szCs w:val="28"/>
          <w:highlight w:val="none"/>
          <w:vertAlign w:val="superscript"/>
          <w:lang w:val="en-US" w:eastAsia="zh-CN"/>
        </w:rPr>
        <w:t>4</w:t>
      </w:r>
      <w:r>
        <w:rPr>
          <w:rFonts w:hint="eastAsia" w:ascii="宋体" w:hAnsi="宋体" w:eastAsia="宋体" w:cs="宋体"/>
          <w:color w:val="000000"/>
          <w:sz w:val="28"/>
          <w:szCs w:val="28"/>
          <w:highlight w:val="none"/>
        </w:rPr>
        <w:t>m</w:t>
      </w:r>
      <w:r>
        <w:rPr>
          <w:rFonts w:hint="eastAsia" w:ascii="宋体" w:hAnsi="宋体" w:eastAsia="宋体" w:cs="宋体"/>
          <w:color w:val="000000"/>
          <w:sz w:val="28"/>
          <w:szCs w:val="28"/>
          <w:highlight w:val="none"/>
          <w:vertAlign w:val="superscript"/>
        </w:rPr>
        <w:t>3</w:t>
      </w:r>
      <w:r>
        <w:rPr>
          <w:rFonts w:hint="eastAsia" w:ascii="宋体" w:hAnsi="宋体" w:eastAsia="宋体" w:cs="宋体"/>
          <w:color w:val="000000"/>
          <w:sz w:val="28"/>
          <w:szCs w:val="28"/>
          <w:highlight w:val="none"/>
        </w:rPr>
        <w:t>,其中</w:t>
      </w:r>
      <w:r>
        <w:rPr>
          <w:rFonts w:hint="eastAsia" w:ascii="宋体" w:hAnsi="宋体" w:eastAsia="宋体" w:cs="宋体"/>
          <w:color w:val="000000"/>
          <w:sz w:val="28"/>
          <w:szCs w:val="28"/>
        </w:rPr>
        <w:t>控制资源量388.3</w:t>
      </w: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val="en-US" w:eastAsia="zh-CN"/>
        </w:rPr>
        <w:t>10</w:t>
      </w:r>
      <w:r>
        <w:rPr>
          <w:rFonts w:hint="eastAsia" w:ascii="宋体" w:hAnsi="宋体" w:eastAsia="宋体" w:cs="宋体"/>
          <w:color w:val="000000"/>
          <w:sz w:val="28"/>
          <w:szCs w:val="28"/>
          <w:highlight w:val="none"/>
          <w:vertAlign w:val="superscript"/>
          <w:lang w:val="en-US" w:eastAsia="zh-CN"/>
        </w:rPr>
        <w:t>4</w:t>
      </w:r>
      <w:r>
        <w:rPr>
          <w:rFonts w:hint="eastAsia" w:ascii="宋体" w:hAnsi="宋体" w:eastAsia="宋体" w:cs="宋体"/>
          <w:color w:val="000000"/>
          <w:sz w:val="28"/>
          <w:szCs w:val="28"/>
        </w:rPr>
        <w:t>m</w:t>
      </w:r>
      <w:r>
        <w:rPr>
          <w:rFonts w:hint="eastAsia" w:ascii="宋体" w:hAnsi="宋体" w:eastAsia="宋体" w:cs="宋体"/>
          <w:color w:val="000000"/>
          <w:sz w:val="28"/>
          <w:szCs w:val="28"/>
          <w:vertAlign w:val="superscript"/>
        </w:rPr>
        <w:t>3</w:t>
      </w:r>
      <w:r>
        <w:rPr>
          <w:rFonts w:hint="eastAsia" w:ascii="宋体" w:hAnsi="宋体" w:eastAsia="宋体" w:cs="宋体"/>
          <w:color w:val="000000"/>
          <w:sz w:val="28"/>
          <w:szCs w:val="28"/>
        </w:rPr>
        <w:t>,推断资源量164.3</w:t>
      </w: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val="en-US" w:eastAsia="zh-CN"/>
        </w:rPr>
        <w:t>10</w:t>
      </w:r>
      <w:r>
        <w:rPr>
          <w:rFonts w:hint="eastAsia" w:ascii="宋体" w:hAnsi="宋体" w:eastAsia="宋体" w:cs="宋体"/>
          <w:color w:val="000000"/>
          <w:sz w:val="28"/>
          <w:szCs w:val="28"/>
          <w:highlight w:val="none"/>
          <w:vertAlign w:val="superscript"/>
          <w:lang w:val="en-US" w:eastAsia="zh-CN"/>
        </w:rPr>
        <w:t>4</w:t>
      </w:r>
      <w:r>
        <w:rPr>
          <w:rFonts w:hint="eastAsia" w:ascii="宋体" w:hAnsi="宋体" w:eastAsia="宋体" w:cs="宋体"/>
          <w:color w:val="000000"/>
          <w:sz w:val="28"/>
          <w:szCs w:val="28"/>
        </w:rPr>
        <w:t>m</w:t>
      </w:r>
      <w:r>
        <w:rPr>
          <w:rFonts w:hint="eastAsia" w:ascii="宋体" w:hAnsi="宋体" w:eastAsia="宋体" w:cs="宋体"/>
          <w:color w:val="000000"/>
          <w:sz w:val="28"/>
          <w:szCs w:val="28"/>
          <w:vertAlign w:val="superscript"/>
        </w:rPr>
        <w:t>3</w:t>
      </w:r>
      <w:r>
        <w:rPr>
          <w:rFonts w:hint="eastAsia" w:ascii="宋体" w:hAnsi="宋体" w:eastAsia="宋体" w:cs="宋体"/>
          <w:color w:val="000000"/>
          <w:sz w:val="28"/>
          <w:szCs w:val="28"/>
        </w:rPr>
        <w:t>。</w:t>
      </w:r>
    </w:p>
    <w:p w14:paraId="20A9028F">
      <w:pPr>
        <w:keepNext w:val="0"/>
        <w:keepLines w:val="0"/>
        <w:pageBreakBefore w:val="0"/>
        <w:widowControl w:val="0"/>
        <w:kinsoku/>
        <w:wordWrap/>
        <w:overflowPunct/>
        <w:topLinePunct w:val="0"/>
        <w:autoSpaceDE/>
        <w:autoSpaceDN/>
        <w:bidi w:val="0"/>
        <w:snapToGrid/>
        <w:spacing w:line="554"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《总体方案》设计利用资源量</w:t>
      </w:r>
      <w:r>
        <w:rPr>
          <w:rFonts w:hint="eastAsia" w:ascii="宋体" w:hAnsi="宋体" w:eastAsia="宋体" w:cs="宋体"/>
          <w:color w:val="000000"/>
          <w:sz w:val="28"/>
          <w:szCs w:val="28"/>
        </w:rPr>
        <w:t>516.04</w:t>
      </w: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val="en-US" w:eastAsia="zh-CN"/>
        </w:rPr>
        <w:t>10</w:t>
      </w:r>
      <w:r>
        <w:rPr>
          <w:rFonts w:hint="eastAsia" w:ascii="宋体" w:hAnsi="宋体" w:eastAsia="宋体" w:cs="宋体"/>
          <w:color w:val="000000"/>
          <w:sz w:val="28"/>
          <w:szCs w:val="28"/>
          <w:highlight w:val="none"/>
          <w:vertAlign w:val="superscript"/>
          <w:lang w:val="en-US" w:eastAsia="zh-CN"/>
        </w:rPr>
        <w:t>4</w:t>
      </w:r>
      <w:r>
        <w:rPr>
          <w:rFonts w:hint="eastAsia" w:ascii="宋体" w:hAnsi="宋体" w:eastAsia="宋体" w:cs="宋体"/>
          <w:color w:val="000000"/>
          <w:sz w:val="28"/>
          <w:szCs w:val="28"/>
        </w:rPr>
        <w:t>m</w:t>
      </w:r>
      <w:r>
        <w:rPr>
          <w:rFonts w:hint="eastAsia" w:ascii="宋体" w:hAnsi="宋体" w:eastAsia="宋体" w:cs="宋体"/>
          <w:color w:val="000000"/>
          <w:sz w:val="28"/>
          <w:szCs w:val="28"/>
          <w:vertAlign w:val="superscript"/>
        </w:rPr>
        <w:t>3</w:t>
      </w:r>
      <w:r>
        <w:rPr>
          <w:rFonts w:hint="eastAsia" w:ascii="宋体" w:hAnsi="宋体" w:eastAsia="宋体" w:cs="宋体"/>
          <w:sz w:val="28"/>
          <w:szCs w:val="28"/>
        </w:rPr>
        <w:t>，可采资源量</w:t>
      </w:r>
      <w:r>
        <w:rPr>
          <w:rFonts w:hint="eastAsia" w:ascii="宋体" w:hAnsi="宋体" w:eastAsia="宋体" w:cs="宋体"/>
          <w:color w:val="000000"/>
          <w:sz w:val="28"/>
          <w:szCs w:val="28"/>
        </w:rPr>
        <w:t>490.24</w:t>
      </w: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val="en-US" w:eastAsia="zh-CN"/>
        </w:rPr>
        <w:t>10</w:t>
      </w:r>
      <w:r>
        <w:rPr>
          <w:rFonts w:hint="eastAsia" w:ascii="宋体" w:hAnsi="宋体" w:eastAsia="宋体" w:cs="宋体"/>
          <w:color w:val="000000"/>
          <w:sz w:val="28"/>
          <w:szCs w:val="28"/>
          <w:highlight w:val="none"/>
          <w:vertAlign w:val="superscript"/>
          <w:lang w:val="en-US" w:eastAsia="zh-CN"/>
        </w:rPr>
        <w:t>4</w:t>
      </w:r>
      <w:r>
        <w:rPr>
          <w:rFonts w:hint="eastAsia" w:ascii="宋体" w:hAnsi="宋体" w:eastAsia="宋体" w:cs="宋体"/>
          <w:color w:val="000000"/>
          <w:sz w:val="28"/>
          <w:szCs w:val="28"/>
        </w:rPr>
        <w:t>m</w:t>
      </w:r>
      <w:r>
        <w:rPr>
          <w:rFonts w:hint="eastAsia" w:ascii="宋体" w:hAnsi="宋体" w:eastAsia="宋体" w:cs="宋体"/>
          <w:color w:val="000000"/>
          <w:sz w:val="28"/>
          <w:szCs w:val="28"/>
          <w:vertAlign w:val="superscript"/>
        </w:rPr>
        <w:t>3</w:t>
      </w:r>
      <w:r>
        <w:rPr>
          <w:rFonts w:hint="eastAsia" w:ascii="宋体" w:hAnsi="宋体" w:eastAsia="宋体" w:cs="宋体"/>
          <w:sz w:val="28"/>
          <w:szCs w:val="28"/>
        </w:rPr>
        <w:t>，资源量利用基本合理。</w:t>
      </w:r>
    </w:p>
    <w:p w14:paraId="5C380E07">
      <w:pPr>
        <w:keepNext w:val="0"/>
        <w:keepLines w:val="0"/>
        <w:pageBreakBefore w:val="0"/>
        <w:widowControl w:val="0"/>
        <w:numPr>
          <w:ilvl w:val="0"/>
          <w:numId w:val="2"/>
        </w:numPr>
        <w:tabs>
          <w:tab w:val="left" w:pos="0"/>
        </w:tabs>
        <w:kinsoku/>
        <w:wordWrap/>
        <w:overflowPunct/>
        <w:topLinePunct w:val="0"/>
        <w:autoSpaceDE/>
        <w:autoSpaceDN/>
        <w:bidi w:val="0"/>
        <w:adjustRightInd w:val="0"/>
        <w:snapToGrid/>
        <w:spacing w:line="554"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矿山建设规模的审查</w:t>
      </w:r>
    </w:p>
    <w:p w14:paraId="0DF10293">
      <w:pPr>
        <w:keepNext w:val="0"/>
        <w:keepLines w:val="0"/>
        <w:pageBreakBefore w:val="0"/>
        <w:widowControl w:val="0"/>
        <w:kinsoku/>
        <w:wordWrap/>
        <w:overflowPunct/>
        <w:topLinePunct w:val="0"/>
        <w:autoSpaceDE/>
        <w:autoSpaceDN/>
        <w:bidi w:val="0"/>
        <w:snapToGrid/>
        <w:spacing w:line="554" w:lineRule="exact"/>
        <w:ind w:firstLine="560" w:firstLineChars="200"/>
        <w:textAlignment w:val="auto"/>
        <w:rPr>
          <w:rFonts w:hint="eastAsia" w:ascii="宋体" w:hAnsi="宋体" w:eastAsia="宋体" w:cs="宋体"/>
          <w:b/>
          <w:bCs/>
          <w:sz w:val="28"/>
          <w:szCs w:val="28"/>
        </w:rPr>
      </w:pPr>
      <w:r>
        <w:rPr>
          <w:rFonts w:hint="eastAsia" w:ascii="宋体" w:hAnsi="宋体" w:eastAsia="宋体" w:cs="宋体"/>
          <w:sz w:val="28"/>
          <w:szCs w:val="28"/>
        </w:rPr>
        <w:t>《总体方案》根据矿区范围</w:t>
      </w:r>
      <w:r>
        <w:rPr>
          <w:rFonts w:hint="eastAsia" w:ascii="宋体" w:hAnsi="宋体" w:eastAsia="宋体" w:cs="宋体"/>
          <w:sz w:val="28"/>
          <w:szCs w:val="28"/>
          <w:lang w:eastAsia="zh-CN"/>
        </w:rPr>
        <w:t>内</w:t>
      </w:r>
      <w:r>
        <w:rPr>
          <w:rFonts w:hint="eastAsia" w:ascii="宋体" w:hAnsi="宋体" w:eastAsia="宋体" w:cs="宋体"/>
          <w:sz w:val="28"/>
          <w:szCs w:val="28"/>
        </w:rPr>
        <w:t>资源量、矿体赋存条件、采矿工艺和市场需求等因素，推荐矿山生产规模为12</w:t>
      </w: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val="en-US" w:eastAsia="zh-CN"/>
        </w:rPr>
        <w:t>10</w:t>
      </w:r>
      <w:r>
        <w:rPr>
          <w:rFonts w:hint="eastAsia" w:ascii="宋体" w:hAnsi="宋体" w:eastAsia="宋体" w:cs="宋体"/>
          <w:color w:val="000000"/>
          <w:sz w:val="28"/>
          <w:szCs w:val="28"/>
          <w:highlight w:val="none"/>
          <w:vertAlign w:val="superscript"/>
          <w:lang w:val="en-US" w:eastAsia="zh-CN"/>
        </w:rPr>
        <w:t>4</w:t>
      </w:r>
      <w:r>
        <w:rPr>
          <w:rFonts w:hint="eastAsia" w:ascii="宋体" w:hAnsi="宋体" w:eastAsia="宋体" w:cs="宋体"/>
          <w:color w:val="000000"/>
          <w:sz w:val="28"/>
          <w:szCs w:val="28"/>
        </w:rPr>
        <w:t>m</w:t>
      </w:r>
      <w:r>
        <w:rPr>
          <w:rFonts w:hint="eastAsia" w:ascii="宋体" w:hAnsi="宋体" w:eastAsia="宋体" w:cs="宋体"/>
          <w:color w:val="000000"/>
          <w:sz w:val="28"/>
          <w:szCs w:val="28"/>
          <w:vertAlign w:val="superscript"/>
        </w:rPr>
        <w:t>3</w:t>
      </w:r>
      <w:r>
        <w:rPr>
          <w:rFonts w:hint="eastAsia" w:ascii="宋体" w:hAnsi="宋体" w:eastAsia="宋体" w:cs="宋体"/>
          <w:sz w:val="28"/>
          <w:szCs w:val="28"/>
        </w:rPr>
        <w:t>/a，矿山剩余服务年限约43年。推荐的矿山生产规模、服务年限基本合理。</w:t>
      </w:r>
    </w:p>
    <w:p w14:paraId="493F95C9">
      <w:pPr>
        <w:keepNext w:val="0"/>
        <w:keepLines w:val="0"/>
        <w:pageBreakBefore w:val="0"/>
        <w:widowControl w:val="0"/>
        <w:numPr>
          <w:ilvl w:val="0"/>
          <w:numId w:val="2"/>
        </w:numPr>
        <w:tabs>
          <w:tab w:val="left" w:pos="0"/>
        </w:tabs>
        <w:kinsoku/>
        <w:wordWrap/>
        <w:overflowPunct/>
        <w:topLinePunct w:val="0"/>
        <w:autoSpaceDE/>
        <w:autoSpaceDN/>
        <w:bidi w:val="0"/>
        <w:adjustRightInd w:val="0"/>
        <w:snapToGrid/>
        <w:spacing w:line="554"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矿权范围及开采方案的审查</w:t>
      </w:r>
    </w:p>
    <w:p w14:paraId="1B6ED479">
      <w:pPr>
        <w:keepNext w:val="0"/>
        <w:keepLines w:val="0"/>
        <w:pageBreakBefore w:val="0"/>
        <w:widowControl w:val="0"/>
        <w:kinsoku/>
        <w:wordWrap/>
        <w:overflowPunct/>
        <w:topLinePunct w:val="0"/>
        <w:autoSpaceDE/>
        <w:autoSpaceDN/>
        <w:bidi w:val="0"/>
        <w:snapToGrid/>
        <w:spacing w:line="554" w:lineRule="exact"/>
        <w:ind w:firstLine="560" w:firstLineChars="200"/>
        <w:textAlignment w:val="auto"/>
        <w:outlineLvl w:val="0"/>
        <w:rPr>
          <w:rFonts w:hint="eastAsia" w:ascii="宋体" w:hAnsi="宋体" w:eastAsia="宋体" w:cs="宋体"/>
          <w:sz w:val="28"/>
          <w:szCs w:val="28"/>
        </w:rPr>
      </w:pPr>
      <w:r>
        <w:rPr>
          <w:rFonts w:hint="eastAsia" w:ascii="宋体" w:hAnsi="宋体" w:eastAsia="宋体" w:cs="宋体"/>
          <w:sz w:val="28"/>
          <w:szCs w:val="28"/>
        </w:rPr>
        <w:t>《总体方案》依据原采矿权平面范围</w:t>
      </w:r>
      <w:r>
        <w:rPr>
          <w:rFonts w:hint="eastAsia" w:ascii="宋体" w:hAnsi="宋体" w:eastAsia="宋体" w:cs="宋体"/>
          <w:sz w:val="28"/>
          <w:szCs w:val="28"/>
          <w:lang w:eastAsia="zh-CN"/>
        </w:rPr>
        <w:t>、</w:t>
      </w:r>
      <w:r>
        <w:rPr>
          <w:rFonts w:hint="eastAsia" w:ascii="宋体" w:hAnsi="宋体" w:eastAsia="宋体" w:cs="宋体"/>
          <w:sz w:val="28"/>
          <w:szCs w:val="28"/>
        </w:rPr>
        <w:t>资源量估算范围、矿体分布范围、露天采剥工程分布范围，确定申请采矿权矿区平面范围与原采矿权平面范围</w:t>
      </w:r>
      <w:r>
        <w:rPr>
          <w:rFonts w:hint="eastAsia" w:ascii="宋体" w:hAnsi="宋体" w:eastAsia="宋体" w:cs="宋体"/>
          <w:color w:val="000000" w:themeColor="text1"/>
          <w:sz w:val="28"/>
          <w:szCs w:val="28"/>
          <w14:textFill>
            <w14:solidFill>
              <w14:schemeClr w14:val="tx1"/>
            </w14:solidFill>
          </w14:textFill>
        </w:rPr>
        <w:t>一</w:t>
      </w:r>
      <w:r>
        <w:rPr>
          <w:rFonts w:hint="eastAsia" w:ascii="宋体" w:hAnsi="宋体" w:eastAsia="宋体" w:cs="宋体"/>
          <w:sz w:val="28"/>
          <w:szCs w:val="28"/>
        </w:rPr>
        <w:t>致，开采深度范围由1073m～1045m标高，露天剥离、开拓工程范围由1095m～1042m标高。</w:t>
      </w:r>
    </w:p>
    <w:p w14:paraId="19196E41">
      <w:pPr>
        <w:keepNext w:val="0"/>
        <w:keepLines w:val="0"/>
        <w:pageBreakBefore w:val="0"/>
        <w:widowControl w:val="0"/>
        <w:kinsoku/>
        <w:wordWrap/>
        <w:overflowPunct/>
        <w:topLinePunct w:val="0"/>
        <w:autoSpaceDE/>
        <w:autoSpaceDN/>
        <w:bidi w:val="0"/>
        <w:snapToGrid/>
        <w:spacing w:line="554" w:lineRule="exact"/>
        <w:ind w:firstLine="560" w:firstLineChars="200"/>
        <w:textAlignment w:val="auto"/>
        <w:outlineLvl w:val="0"/>
        <w:rPr>
          <w:rFonts w:hint="eastAsia" w:ascii="宋体" w:hAnsi="宋体" w:eastAsia="宋体" w:cs="宋体"/>
          <w:sz w:val="28"/>
          <w:szCs w:val="28"/>
        </w:rPr>
      </w:pPr>
      <w:r>
        <w:rPr>
          <w:rFonts w:hint="eastAsia" w:ascii="宋体" w:hAnsi="宋体" w:eastAsia="宋体" w:cs="宋体"/>
          <w:sz w:val="28"/>
          <w:szCs w:val="28"/>
        </w:rPr>
        <w:t>《总体方案》依据矿体赋存状况和地质地形条件及矿山现状，推荐矿山采用露天开采方式，公路开拓-汽车运输方案，采用自上而下分台阶开采，台阶高度5m/10m，台阶坡面角45°，安全（清扫）平台宽度8m，采场最终</w:t>
      </w:r>
      <w:r>
        <w:rPr>
          <w:rFonts w:hint="eastAsia" w:ascii="宋体" w:hAnsi="宋体" w:eastAsia="宋体" w:cs="宋体"/>
          <w:sz w:val="28"/>
          <w:szCs w:val="28"/>
          <w:highlight w:val="none"/>
        </w:rPr>
        <w:t>边坡角27～35°</w:t>
      </w:r>
      <w:r>
        <w:rPr>
          <w:rFonts w:hint="eastAsia" w:ascii="宋体" w:hAnsi="宋体" w:eastAsia="宋体" w:cs="宋体"/>
          <w:sz w:val="28"/>
          <w:szCs w:val="28"/>
        </w:rPr>
        <w:t>。推荐露天开采回采率95%，满足《矿产资源“三率”指标要求 第7部分：石英岩、石英砂岩、脉石英、天然石英砂、粉石英》（DZ/T 0462.7-2023），天然石英砂岩露天开采一般指标要求。总体开采技术先进适用。</w:t>
      </w:r>
    </w:p>
    <w:p w14:paraId="6BAE11C8">
      <w:pPr>
        <w:keepNext w:val="0"/>
        <w:keepLines w:val="0"/>
        <w:pageBreakBefore w:val="0"/>
        <w:widowControl w:val="0"/>
        <w:numPr>
          <w:ilvl w:val="0"/>
          <w:numId w:val="2"/>
        </w:numPr>
        <w:tabs>
          <w:tab w:val="left" w:pos="0"/>
        </w:tabs>
        <w:kinsoku/>
        <w:wordWrap/>
        <w:overflowPunct/>
        <w:topLinePunct w:val="0"/>
        <w:autoSpaceDE/>
        <w:autoSpaceDN/>
        <w:bidi w:val="0"/>
        <w:adjustRightInd w:val="0"/>
        <w:snapToGrid/>
        <w:spacing w:line="554"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选矿加工方案的审查</w:t>
      </w:r>
    </w:p>
    <w:p w14:paraId="0BE84CE4">
      <w:pPr>
        <w:keepNext w:val="0"/>
        <w:keepLines w:val="0"/>
        <w:pageBreakBefore w:val="0"/>
        <w:widowControl w:val="0"/>
        <w:kinsoku/>
        <w:wordWrap/>
        <w:overflowPunct/>
        <w:topLinePunct w:val="0"/>
        <w:autoSpaceDE/>
        <w:autoSpaceDN/>
        <w:bidi w:val="0"/>
        <w:snapToGrid/>
        <w:spacing w:line="554"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《总体方案》推荐采用筛分-洗砂-脱水工艺流程，产品方案为建筑用砂，选矿回收率90%，满足《矿产资源“三率”指标要求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第7部分：石英岩、石英砂岩、脉石英、天然石英砂、粉石英》（DZ/T 0462.7-2023），天然石英砂岩选矿回收率领跑者指标要求。</w:t>
      </w:r>
    </w:p>
    <w:p w14:paraId="0DBF43FA">
      <w:pPr>
        <w:keepNext w:val="0"/>
        <w:keepLines w:val="0"/>
        <w:pageBreakBefore w:val="0"/>
        <w:widowControl w:val="0"/>
        <w:kinsoku/>
        <w:wordWrap/>
        <w:overflowPunct/>
        <w:topLinePunct w:val="0"/>
        <w:autoSpaceDE/>
        <w:autoSpaceDN/>
        <w:bidi w:val="0"/>
        <w:snapToGrid/>
        <w:spacing w:line="554"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选矿工艺达到当前国内同类矿山先进水平，符合矿山实际。</w:t>
      </w:r>
    </w:p>
    <w:p w14:paraId="7295C1F8">
      <w:pPr>
        <w:keepNext w:val="0"/>
        <w:keepLines w:val="0"/>
        <w:pageBreakBefore w:val="0"/>
        <w:widowControl w:val="0"/>
        <w:numPr>
          <w:ilvl w:val="0"/>
          <w:numId w:val="2"/>
        </w:numPr>
        <w:tabs>
          <w:tab w:val="left" w:pos="0"/>
        </w:tabs>
        <w:kinsoku/>
        <w:wordWrap/>
        <w:overflowPunct/>
        <w:topLinePunct w:val="0"/>
        <w:autoSpaceDE/>
        <w:autoSpaceDN/>
        <w:bidi w:val="0"/>
        <w:adjustRightInd w:val="0"/>
        <w:snapToGrid/>
        <w:spacing w:line="554"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矿山地质环境保护与土地复垦方案的审查</w:t>
      </w:r>
    </w:p>
    <w:p w14:paraId="5A830BF1">
      <w:pPr>
        <w:keepNext w:val="0"/>
        <w:keepLines w:val="0"/>
        <w:pageBreakBefore w:val="0"/>
        <w:widowControl w:val="0"/>
        <w:kinsoku/>
        <w:wordWrap/>
        <w:overflowPunct/>
        <w:topLinePunct w:val="0"/>
        <w:autoSpaceDE/>
        <w:autoSpaceDN/>
        <w:bidi w:val="0"/>
        <w:snapToGrid/>
        <w:spacing w:line="554" w:lineRule="exact"/>
        <w:ind w:firstLine="560" w:firstLineChars="200"/>
        <w:textAlignment w:val="auto"/>
        <w:outlineLvl w:val="0"/>
        <w:rPr>
          <w:rFonts w:hint="eastAsia" w:ascii="宋体" w:hAnsi="宋体" w:eastAsia="宋体" w:cs="宋体"/>
          <w:sz w:val="28"/>
          <w:szCs w:val="28"/>
        </w:rPr>
      </w:pPr>
      <w:r>
        <w:rPr>
          <w:rFonts w:hint="eastAsia" w:ascii="宋体" w:hAnsi="宋体" w:eastAsia="宋体" w:cs="宋体"/>
          <w:sz w:val="28"/>
          <w:szCs w:val="28"/>
        </w:rPr>
        <w:t>（一）《总体方案》编制单位在充分收集、分析矿区有关资料和矿山地质环境实地调查的基础上，基本阐明了矿区地质环境条件和矿区地质环境问题。</w:t>
      </w:r>
    </w:p>
    <w:p w14:paraId="412A512A">
      <w:pPr>
        <w:keepNext w:val="0"/>
        <w:keepLines w:val="0"/>
        <w:pageBreakBefore w:val="0"/>
        <w:widowControl w:val="0"/>
        <w:kinsoku/>
        <w:wordWrap/>
        <w:overflowPunct/>
        <w:topLinePunct w:val="0"/>
        <w:autoSpaceDE/>
        <w:autoSpaceDN/>
        <w:bidi w:val="0"/>
        <w:snapToGrid/>
        <w:spacing w:line="554" w:lineRule="exact"/>
        <w:ind w:firstLine="560" w:firstLineChars="200"/>
        <w:textAlignment w:val="auto"/>
        <w:outlineLvl w:val="0"/>
        <w:rPr>
          <w:rFonts w:hint="eastAsia" w:ascii="宋体" w:hAnsi="宋体" w:eastAsia="宋体" w:cs="宋体"/>
          <w:sz w:val="28"/>
          <w:szCs w:val="28"/>
        </w:rPr>
      </w:pPr>
      <w:r>
        <w:rPr>
          <w:rFonts w:hint="eastAsia" w:ascii="宋体" w:hAnsi="宋体" w:eastAsia="宋体" w:cs="宋体"/>
          <w:sz w:val="28"/>
          <w:szCs w:val="28"/>
        </w:rPr>
        <w:t>（二）《总体方案》根据矿区地质环境条件以及矿山开采实际情况，将矿区范围确定为评估区范围，评估区重要程度为“较重要区”，生产建设规模为“中型”，矿山地质环境条件复杂程度为“中等”，确定本次矿山地质环境影响评估为二级，评估级别确定合理，符合相关规范要求。</w:t>
      </w:r>
    </w:p>
    <w:p w14:paraId="366F183E">
      <w:pPr>
        <w:keepNext w:val="0"/>
        <w:keepLines w:val="0"/>
        <w:pageBreakBefore w:val="0"/>
        <w:widowControl w:val="0"/>
        <w:kinsoku/>
        <w:wordWrap/>
        <w:overflowPunct/>
        <w:topLinePunct w:val="0"/>
        <w:autoSpaceDE/>
        <w:autoSpaceDN/>
        <w:bidi w:val="0"/>
        <w:snapToGrid/>
        <w:spacing w:line="554"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（三）根据现状调查，</w:t>
      </w:r>
      <w:r>
        <w:rPr>
          <w:rFonts w:hint="eastAsia" w:ascii="宋体" w:hAnsi="宋体" w:eastAsia="宋体" w:cs="宋体"/>
          <w:sz w:val="28"/>
          <w:szCs w:val="28"/>
          <w:lang w:val="zh-CN"/>
        </w:rPr>
        <w:t>现状评估将</w:t>
      </w:r>
      <w:r>
        <w:rPr>
          <w:rFonts w:hint="eastAsia" w:ascii="宋体" w:hAnsi="宋体" w:eastAsia="宋体" w:cs="宋体"/>
          <w:sz w:val="28"/>
          <w:szCs w:val="28"/>
        </w:rPr>
        <w:t>东、西露天采场划为严重区，办公区和</w:t>
      </w:r>
      <w:r>
        <w:rPr>
          <w:rFonts w:hint="eastAsia" w:ascii="宋体" w:hAnsi="宋体" w:eastAsia="宋体" w:cs="宋体"/>
          <w:sz w:val="28"/>
          <w:szCs w:val="28"/>
          <w:lang w:val="zh-CN"/>
        </w:rPr>
        <w:t>其它区域</w:t>
      </w:r>
      <w:r>
        <w:rPr>
          <w:rFonts w:hint="eastAsia" w:ascii="宋体" w:hAnsi="宋体" w:eastAsia="宋体" w:cs="宋体"/>
          <w:sz w:val="28"/>
          <w:szCs w:val="28"/>
        </w:rPr>
        <w:t>为较轻</w:t>
      </w:r>
      <w:r>
        <w:rPr>
          <w:rFonts w:hint="eastAsia" w:ascii="宋体" w:hAnsi="宋体" w:eastAsia="宋体" w:cs="宋体"/>
          <w:sz w:val="28"/>
          <w:szCs w:val="28"/>
          <w:lang w:val="zh-CN"/>
        </w:rPr>
        <w:t>区</w:t>
      </w:r>
      <w:r>
        <w:rPr>
          <w:rFonts w:hint="eastAsia" w:ascii="宋体" w:hAnsi="宋体" w:eastAsia="宋体" w:cs="宋体"/>
          <w:sz w:val="28"/>
          <w:szCs w:val="28"/>
        </w:rPr>
        <w:t>。矿山现状已损毁土地类型为乔木林地、其他林地、天然牧草地、采矿用地和农村道路，损毁方式为挖损和压占，损毁面积55.99hm</w:t>
      </w:r>
      <w:r>
        <w:rPr>
          <w:rFonts w:hint="eastAsia" w:ascii="宋体" w:hAnsi="宋体" w:eastAsia="宋体" w:cs="宋体"/>
          <w:sz w:val="28"/>
          <w:szCs w:val="28"/>
          <w:vertAlign w:val="superscript"/>
        </w:rPr>
        <w:t>2</w:t>
      </w:r>
      <w:r>
        <w:rPr>
          <w:rFonts w:hint="eastAsia" w:ascii="宋体" w:hAnsi="宋体" w:eastAsia="宋体" w:cs="宋体"/>
          <w:sz w:val="28"/>
          <w:szCs w:val="28"/>
        </w:rPr>
        <w:t>。</w:t>
      </w:r>
      <w:bookmarkStart w:id="1" w:name="_Hlt9180341"/>
      <w:bookmarkEnd w:id="1"/>
      <w:bookmarkStart w:id="2" w:name="_Hlt260747608"/>
      <w:bookmarkEnd w:id="2"/>
      <w:r>
        <w:rPr>
          <w:rFonts w:hint="eastAsia" w:ascii="宋体" w:hAnsi="宋体" w:eastAsia="宋体" w:cs="宋体"/>
          <w:sz w:val="28"/>
          <w:szCs w:val="28"/>
          <w:lang w:val="zh-CN"/>
        </w:rPr>
        <w:t>现状评估结论基本符合实际</w:t>
      </w:r>
      <w:r>
        <w:rPr>
          <w:rFonts w:hint="eastAsia" w:ascii="宋体" w:hAnsi="宋体" w:eastAsia="宋体" w:cs="宋体"/>
          <w:sz w:val="28"/>
          <w:szCs w:val="28"/>
        </w:rPr>
        <w:t>。</w:t>
      </w:r>
    </w:p>
    <w:p w14:paraId="1761D668">
      <w:pPr>
        <w:keepNext w:val="0"/>
        <w:keepLines w:val="0"/>
        <w:pageBreakBefore w:val="0"/>
        <w:widowControl w:val="0"/>
        <w:kinsoku/>
        <w:wordWrap/>
        <w:overflowPunct/>
        <w:topLinePunct w:val="0"/>
        <w:autoSpaceDE/>
        <w:autoSpaceDN/>
        <w:bidi w:val="0"/>
        <w:snapToGrid/>
        <w:spacing w:line="53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（四）预测评估将露天采场（含内排土场）</w:t>
      </w:r>
      <w:r>
        <w:rPr>
          <w:rFonts w:hint="eastAsia" w:ascii="宋体" w:hAnsi="宋体" w:eastAsia="宋体" w:cs="宋体"/>
          <w:sz w:val="28"/>
          <w:szCs w:val="28"/>
          <w:lang w:val="zh-CN"/>
        </w:rPr>
        <w:t>划分为矿山地质环境影响程度</w:t>
      </w:r>
      <w:r>
        <w:rPr>
          <w:rFonts w:hint="eastAsia" w:ascii="宋体" w:hAnsi="宋体" w:eastAsia="宋体" w:cs="宋体"/>
          <w:sz w:val="28"/>
          <w:szCs w:val="28"/>
        </w:rPr>
        <w:t>严重区，采矿工业区划分为较严重区，出场道路及</w:t>
      </w:r>
      <w:r>
        <w:rPr>
          <w:rFonts w:hint="eastAsia" w:ascii="宋体" w:hAnsi="宋体" w:eastAsia="宋体" w:cs="宋体"/>
          <w:color w:val="000000"/>
          <w:kern w:val="0"/>
          <w:sz w:val="28"/>
          <w:szCs w:val="28"/>
          <w:lang w:bidi="ar"/>
        </w:rPr>
        <w:t>其他区域</w:t>
      </w:r>
      <w:r>
        <w:rPr>
          <w:rFonts w:hint="eastAsia" w:ascii="宋体" w:hAnsi="宋体" w:eastAsia="宋体" w:cs="宋体"/>
          <w:sz w:val="28"/>
          <w:szCs w:val="28"/>
          <w:lang w:val="zh-CN"/>
        </w:rPr>
        <w:t>划分为较轻区</w:t>
      </w:r>
      <w:r>
        <w:rPr>
          <w:rFonts w:hint="eastAsia" w:ascii="宋体" w:hAnsi="宋体" w:eastAsia="宋体" w:cs="宋体"/>
          <w:sz w:val="28"/>
          <w:szCs w:val="28"/>
        </w:rPr>
        <w:t>。预测矿山拟损毁土地类型为乔木林地、其他林地、天然牧草地、采矿用地和农村道路，损毁方式为挖损和压占，预测损毁面积71.26hm</w:t>
      </w:r>
      <w:r>
        <w:rPr>
          <w:rFonts w:hint="eastAsia" w:ascii="宋体" w:hAnsi="宋体" w:eastAsia="宋体" w:cs="宋体"/>
          <w:sz w:val="28"/>
          <w:szCs w:val="28"/>
          <w:vertAlign w:val="superscript"/>
        </w:rPr>
        <w:t>2</w:t>
      </w:r>
      <w:r>
        <w:rPr>
          <w:rFonts w:hint="eastAsia" w:ascii="宋体" w:hAnsi="宋体" w:eastAsia="宋体" w:cs="宋体"/>
          <w:sz w:val="28"/>
          <w:szCs w:val="28"/>
        </w:rPr>
        <w:t>。预测评估结论基本可信。</w:t>
      </w:r>
    </w:p>
    <w:p w14:paraId="24799E73">
      <w:pPr>
        <w:keepNext w:val="0"/>
        <w:keepLines w:val="0"/>
        <w:pageBreakBefore w:val="0"/>
        <w:widowControl w:val="0"/>
        <w:kinsoku/>
        <w:wordWrap/>
        <w:overflowPunct/>
        <w:topLinePunct w:val="0"/>
        <w:autoSpaceDE/>
        <w:autoSpaceDN/>
        <w:bidi w:val="0"/>
        <w:snapToGrid/>
        <w:spacing w:line="53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（五）依据损毁土地分析与预测结果，《总体方案》将</w:t>
      </w:r>
      <w:bookmarkStart w:id="3" w:name="OLE_LINK116"/>
      <w:r>
        <w:rPr>
          <w:rFonts w:hint="eastAsia" w:ascii="宋体" w:hAnsi="宋体" w:eastAsia="宋体" w:cs="宋体"/>
          <w:sz w:val="28"/>
          <w:szCs w:val="28"/>
        </w:rPr>
        <w:t>露天采场、内排土场、采矿工业区、出场道路确定为复垦责任区，总面积为127.24hm</w:t>
      </w:r>
      <w:r>
        <w:rPr>
          <w:rFonts w:hint="eastAsia" w:ascii="宋体" w:hAnsi="宋体" w:eastAsia="宋体" w:cs="宋体"/>
          <w:sz w:val="28"/>
          <w:szCs w:val="28"/>
          <w:vertAlign w:val="superscript"/>
        </w:rPr>
        <w:t>2</w:t>
      </w:r>
      <w:bookmarkEnd w:id="3"/>
      <w:r>
        <w:rPr>
          <w:rFonts w:hint="eastAsia" w:ascii="宋体" w:hAnsi="宋体" w:eastAsia="宋体" w:cs="宋体"/>
          <w:sz w:val="28"/>
          <w:szCs w:val="28"/>
        </w:rPr>
        <w:t>；复垦责任范围及坐标见《总体方案》。复垦后的土地类型为旱地、乔木林地、灌木林地、人工牧草地，复垦责任区及复垦后土地类型确定基本合理。</w:t>
      </w:r>
    </w:p>
    <w:p w14:paraId="1B64D481">
      <w:pPr>
        <w:keepNext w:val="0"/>
        <w:keepLines w:val="0"/>
        <w:pageBreakBefore w:val="0"/>
        <w:widowControl w:val="0"/>
        <w:kinsoku/>
        <w:wordWrap/>
        <w:overflowPunct/>
        <w:topLinePunct w:val="0"/>
        <w:autoSpaceDE/>
        <w:autoSpaceDN/>
        <w:bidi w:val="0"/>
        <w:snapToGrid/>
        <w:spacing w:line="53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（六）</w:t>
      </w:r>
      <w:r>
        <w:rPr>
          <w:rFonts w:hint="eastAsia" w:ascii="宋体" w:hAnsi="宋体" w:eastAsia="宋体" w:cs="宋体"/>
          <w:sz w:val="28"/>
          <w:szCs w:val="28"/>
          <w:lang w:val="zh-CN"/>
        </w:rPr>
        <w:t>根据矿山存在的地质环境问题和治理复垦目标任务，</w:t>
      </w:r>
      <w:r>
        <w:rPr>
          <w:rFonts w:hint="eastAsia" w:ascii="宋体" w:hAnsi="宋体" w:eastAsia="宋体" w:cs="宋体"/>
          <w:sz w:val="28"/>
          <w:szCs w:val="28"/>
        </w:rPr>
        <w:t>《总体方案》</w:t>
      </w:r>
      <w:r>
        <w:rPr>
          <w:rFonts w:hint="eastAsia" w:ascii="宋体" w:hAnsi="宋体" w:eastAsia="宋体" w:cs="宋体"/>
          <w:sz w:val="28"/>
          <w:szCs w:val="28"/>
          <w:lang w:val="zh-CN"/>
        </w:rPr>
        <w:t>部署了主要治理复垦单元、治理复垦内容和治理复垦措施，并对治理复垦工程量进行了测算。</w:t>
      </w:r>
    </w:p>
    <w:p w14:paraId="3867AC9E">
      <w:pPr>
        <w:keepNext w:val="0"/>
        <w:keepLines w:val="0"/>
        <w:pageBreakBefore w:val="0"/>
        <w:widowControl w:val="0"/>
        <w:tabs>
          <w:tab w:val="left" w:pos="312"/>
        </w:tabs>
        <w:kinsoku/>
        <w:wordWrap/>
        <w:overflowPunct/>
        <w:topLinePunct w:val="0"/>
        <w:autoSpaceDE/>
        <w:autoSpaceDN/>
        <w:bidi w:val="0"/>
        <w:adjustRightInd w:val="0"/>
        <w:snapToGrid/>
        <w:spacing w:line="530" w:lineRule="exact"/>
        <w:ind w:firstLine="560" w:firstLineChars="200"/>
        <w:textAlignment w:val="auto"/>
        <w:rPr>
          <w:rFonts w:hint="eastAsia" w:ascii="宋体" w:hAnsi="宋体" w:eastAsia="宋体" w:cs="宋体"/>
          <w:b/>
          <w:sz w:val="28"/>
          <w:szCs w:val="28"/>
        </w:rPr>
      </w:pPr>
      <w:r>
        <w:rPr>
          <w:rFonts w:hint="eastAsia" w:ascii="宋体" w:hAnsi="宋体" w:eastAsia="宋体" w:cs="宋体"/>
          <w:sz w:val="28"/>
          <w:szCs w:val="28"/>
        </w:rPr>
        <w:t>（七）《总体方案》估算矿山地质环境和土地复垦总费用为2133.92万元，其中矿山地质环境治理工程投资176.16万元，土地复垦工程投资1957.76万元，矿山地质环境保护与土地复垦费用由准格尔旗东孔兑镇何家塔村放牛窑神龙砂厂承担</w:t>
      </w:r>
      <w:r>
        <w:rPr>
          <w:rFonts w:hint="eastAsia" w:ascii="宋体" w:hAnsi="宋体" w:eastAsia="宋体" w:cs="宋体"/>
          <w:sz w:val="28"/>
          <w:szCs w:val="28"/>
          <w:lang w:val="zh-CN"/>
        </w:rPr>
        <w:t>。</w:t>
      </w:r>
    </w:p>
    <w:p w14:paraId="08278939">
      <w:pPr>
        <w:keepNext w:val="0"/>
        <w:keepLines w:val="0"/>
        <w:pageBreakBefore w:val="0"/>
        <w:widowControl w:val="0"/>
        <w:numPr>
          <w:ilvl w:val="0"/>
          <w:numId w:val="2"/>
        </w:numPr>
        <w:tabs>
          <w:tab w:val="left" w:pos="0"/>
        </w:tabs>
        <w:kinsoku/>
        <w:wordWrap/>
        <w:overflowPunct/>
        <w:topLinePunct w:val="0"/>
        <w:autoSpaceDE/>
        <w:autoSpaceDN/>
        <w:bidi w:val="0"/>
        <w:adjustRightInd w:val="0"/>
        <w:snapToGrid/>
        <w:spacing w:line="53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说明与建议</w:t>
      </w:r>
    </w:p>
    <w:p w14:paraId="25090B1E">
      <w:pPr>
        <w:keepNext w:val="0"/>
        <w:keepLines w:val="0"/>
        <w:pageBreakBefore w:val="0"/>
        <w:widowControl w:val="0"/>
        <w:tabs>
          <w:tab w:val="left" w:pos="312"/>
        </w:tabs>
        <w:kinsoku/>
        <w:wordWrap/>
        <w:overflowPunct/>
        <w:topLinePunct w:val="0"/>
        <w:autoSpaceDE/>
        <w:autoSpaceDN/>
        <w:bidi w:val="0"/>
        <w:adjustRightInd w:val="0"/>
        <w:snapToGrid/>
        <w:spacing w:line="53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1.矿山建设、生产中须严格执行安全、生态保护等规定。矿山安全、环境影响评价、水土保持等按照各相应主管部门审批的方案执行。</w:t>
      </w:r>
    </w:p>
    <w:p w14:paraId="75AED6F3">
      <w:pPr>
        <w:keepNext w:val="0"/>
        <w:keepLines w:val="0"/>
        <w:pageBreakBefore w:val="0"/>
        <w:widowControl w:val="0"/>
        <w:kinsoku/>
        <w:wordWrap/>
        <w:overflowPunct/>
        <w:topLinePunct w:val="0"/>
        <w:autoSpaceDE/>
        <w:autoSpaceDN/>
        <w:bidi w:val="0"/>
        <w:snapToGrid/>
        <w:spacing w:line="530" w:lineRule="exact"/>
        <w:ind w:firstLine="560" w:firstLineChars="200"/>
        <w:textAlignment w:val="auto"/>
        <w:rPr>
          <w:rFonts w:hint="eastAsia" w:ascii="宋体" w:hAnsi="宋体" w:eastAsia="宋体" w:cs="宋体"/>
          <w:sz w:val="28"/>
          <w:szCs w:val="28"/>
        </w:rPr>
      </w:pPr>
      <w:r>
        <w:rPr>
          <w:rFonts w:hint="eastAsia" w:ascii="宋体" w:hAnsi="宋体" w:eastAsia="宋体" w:cs="宋体"/>
          <w:kern w:val="0"/>
          <w:sz w:val="28"/>
          <w:szCs w:val="28"/>
        </w:rPr>
        <w:t>2.在开采过程中，加强对边坡稳定性的监测，必要时采取有效的技术措施，确保安全生产</w:t>
      </w:r>
      <w:r>
        <w:rPr>
          <w:rFonts w:hint="eastAsia" w:ascii="宋体" w:hAnsi="宋体" w:eastAsia="宋体" w:cs="宋体"/>
          <w:sz w:val="28"/>
          <w:szCs w:val="28"/>
        </w:rPr>
        <w:t>。</w:t>
      </w:r>
    </w:p>
    <w:p w14:paraId="574CCEFC">
      <w:pPr>
        <w:keepNext w:val="0"/>
        <w:keepLines w:val="0"/>
        <w:pageBreakBefore w:val="0"/>
        <w:widowControl w:val="0"/>
        <w:numPr>
          <w:ilvl w:val="0"/>
          <w:numId w:val="2"/>
        </w:numPr>
        <w:tabs>
          <w:tab w:val="left" w:pos="0"/>
        </w:tabs>
        <w:kinsoku/>
        <w:wordWrap/>
        <w:overflowPunct/>
        <w:topLinePunct w:val="0"/>
        <w:autoSpaceDE/>
        <w:autoSpaceDN/>
        <w:bidi w:val="0"/>
        <w:adjustRightInd w:val="0"/>
        <w:snapToGrid/>
        <w:spacing w:line="530"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审查结论</w:t>
      </w:r>
    </w:p>
    <w:p w14:paraId="549E394D">
      <w:pPr>
        <w:keepNext w:val="0"/>
        <w:keepLines w:val="0"/>
        <w:pageBreakBefore w:val="0"/>
        <w:widowControl w:val="0"/>
        <w:tabs>
          <w:tab w:val="left" w:pos="312"/>
        </w:tabs>
        <w:kinsoku/>
        <w:wordWrap/>
        <w:overflowPunct/>
        <w:topLinePunct w:val="0"/>
        <w:autoSpaceDE/>
        <w:autoSpaceDN/>
        <w:bidi w:val="0"/>
        <w:adjustRightInd w:val="0"/>
        <w:snapToGrid/>
        <w:spacing w:line="53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专家组经讨论认为，本《总体方案》符合相关要求，已按照专家意见修改完善</w:t>
      </w:r>
      <w:r>
        <w:rPr>
          <w:rFonts w:hint="eastAsia" w:ascii="宋体" w:hAnsi="宋体" w:eastAsia="宋体" w:cs="宋体"/>
          <w:sz w:val="28"/>
          <w:szCs w:val="28"/>
          <w:lang w:eastAsia="zh-CN"/>
        </w:rPr>
        <w:t>，一致</w:t>
      </w:r>
      <w:r>
        <w:rPr>
          <w:rFonts w:hint="eastAsia" w:ascii="宋体" w:hAnsi="宋体" w:eastAsia="宋体" w:cs="宋体"/>
          <w:sz w:val="28"/>
          <w:szCs w:val="28"/>
        </w:rPr>
        <w:t>同意通过审查。</w:t>
      </w:r>
    </w:p>
    <w:bookmarkEnd w:id="0"/>
    <w:p w14:paraId="031B46B9">
      <w:pPr>
        <w:keepNext w:val="0"/>
        <w:keepLines w:val="0"/>
        <w:pageBreakBefore w:val="0"/>
        <w:widowControl w:val="0"/>
        <w:kinsoku/>
        <w:wordWrap/>
        <w:overflowPunct/>
        <w:topLinePunct w:val="0"/>
        <w:autoSpaceDE/>
        <w:autoSpaceDN/>
        <w:bidi w:val="0"/>
        <w:snapToGrid/>
        <w:spacing w:line="530" w:lineRule="exact"/>
        <w:ind w:firstLine="560" w:firstLineChars="200"/>
        <w:textAlignment w:val="auto"/>
        <w:rPr>
          <w:rFonts w:hint="eastAsia" w:ascii="宋体" w:hAnsi="宋体" w:eastAsia="宋体" w:cs="宋体"/>
          <w:sz w:val="28"/>
          <w:szCs w:val="28"/>
        </w:rPr>
      </w:pPr>
      <w:bookmarkStart w:id="4" w:name="_GoBack"/>
      <w:bookmarkEnd w:id="4"/>
    </w:p>
    <w:sectPr>
      <w:footerReference r:id="rId9" w:type="default"/>
      <w:pgSz w:w="11906" w:h="16838"/>
      <w:pgMar w:top="2098" w:right="1474" w:bottom="1984" w:left="1587" w:header="851" w:footer="992" w:gutter="0"/>
      <w:pgNumType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B7749">
    <w:pPr>
      <w:pStyle w:val="8"/>
    </w:pPr>
  </w:p>
  <w:p w14:paraId="75B965F3">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0BB68">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D4DD2">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8359693"/>
    </w:sdtPr>
    <w:sdtContent>
      <w:p w14:paraId="6ACC9C85">
        <w:pPr>
          <w:pStyle w:val="8"/>
        </w:pPr>
        <w:r>
          <w:fldChar w:fldCharType="begin"/>
        </w:r>
        <w:r>
          <w:instrText xml:space="preserve">PAGE   \* MERGEFORMAT</w:instrText>
        </w:r>
        <w:r>
          <w:fldChar w:fldCharType="separate"/>
        </w:r>
        <w:r>
          <w:rPr>
            <w:lang w:val="zh-CN"/>
          </w:rPr>
          <w:t>2</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87E4D">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431B3">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799B3">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87F21D"/>
    <w:multiLevelType w:val="singleLevel"/>
    <w:tmpl w:val="AE87F21D"/>
    <w:lvl w:ilvl="0" w:tentative="0">
      <w:start w:val="1"/>
      <w:numFmt w:val="chineseCounting"/>
      <w:suff w:val="nothing"/>
      <w:lvlText w:val="%1、"/>
      <w:lvlJc w:val="left"/>
      <w:pPr>
        <w:ind w:left="0" w:firstLine="420"/>
      </w:pPr>
      <w:rPr>
        <w:rFonts w:hint="eastAsia"/>
      </w:rPr>
    </w:lvl>
  </w:abstractNum>
  <w:abstractNum w:abstractNumId="1">
    <w:nsid w:val="20A46EB2"/>
    <w:multiLevelType w:val="multilevel"/>
    <w:tmpl w:val="20A46EB2"/>
    <w:lvl w:ilvl="0" w:tentative="0">
      <w:start w:val="1"/>
      <w:numFmt w:val="chineseCountingThousand"/>
      <w:pStyle w:val="19"/>
      <w:lvlText w:val="第%1章"/>
      <w:lvlJc w:val="left"/>
      <w:pPr>
        <w:tabs>
          <w:tab w:val="left" w:pos="1701"/>
        </w:tabs>
        <w:ind w:left="0" w:firstLine="0"/>
      </w:pPr>
      <w:rPr>
        <w:rFonts w:hint="eastAsia"/>
      </w:rPr>
    </w:lvl>
    <w:lvl w:ilvl="1" w:tentative="0">
      <w:start w:val="1"/>
      <w:numFmt w:val="chineseCountingThousand"/>
      <w:suff w:val="nothing"/>
      <w:lvlText w:val="%2、"/>
      <w:lvlJc w:val="left"/>
      <w:pPr>
        <w:ind w:left="1419" w:firstLine="0"/>
      </w:pPr>
      <w:rPr>
        <w:rFonts w:hint="eastAsia"/>
      </w:rPr>
    </w:lvl>
    <w:lvl w:ilvl="2" w:tentative="0">
      <w:start w:val="1"/>
      <w:numFmt w:val="chineseCountingThousand"/>
      <w:suff w:val="nothing"/>
      <w:lvlText w:val="（%3）"/>
      <w:lvlJc w:val="left"/>
      <w:pPr>
        <w:ind w:left="0" w:firstLine="0"/>
      </w:pPr>
      <w:rPr>
        <w:rFonts w:hint="eastAsia" w:ascii="Times New Roman" w:hAnsi="Times New Roman" w:eastAsia="宋体"/>
        <w:b/>
        <w:sz w:val="28"/>
      </w:rPr>
    </w:lvl>
    <w:lvl w:ilvl="3" w:tentative="0">
      <w:start w:val="1"/>
      <w:numFmt w:val="decimal"/>
      <w:suff w:val="nothing"/>
      <w:lvlText w:val="%4、"/>
      <w:lvlJc w:val="left"/>
      <w:pPr>
        <w:ind w:left="0" w:firstLine="0"/>
      </w:pPr>
      <w:rPr>
        <w:rFonts w:hint="eastAsia"/>
      </w:rPr>
    </w:lvl>
    <w:lvl w:ilvl="4" w:tentative="0">
      <w:start w:val="1"/>
      <w:numFmt w:val="decimal"/>
      <w:suff w:val="nothing"/>
      <w:lvlText w:val="（%5）"/>
      <w:lvlJc w:val="left"/>
      <w:pPr>
        <w:ind w:left="0" w:firstLine="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E6D"/>
    <w:rsid w:val="00053A9F"/>
    <w:rsid w:val="00072C25"/>
    <w:rsid w:val="000760C3"/>
    <w:rsid w:val="000805DD"/>
    <w:rsid w:val="00134C4D"/>
    <w:rsid w:val="0016327A"/>
    <w:rsid w:val="001B663C"/>
    <w:rsid w:val="00327524"/>
    <w:rsid w:val="00362C63"/>
    <w:rsid w:val="003A1765"/>
    <w:rsid w:val="00403BF0"/>
    <w:rsid w:val="00405474"/>
    <w:rsid w:val="0043204B"/>
    <w:rsid w:val="00463AC6"/>
    <w:rsid w:val="004F5DE2"/>
    <w:rsid w:val="005D5EC3"/>
    <w:rsid w:val="00653AFA"/>
    <w:rsid w:val="00683092"/>
    <w:rsid w:val="006D5C30"/>
    <w:rsid w:val="00774E28"/>
    <w:rsid w:val="00776425"/>
    <w:rsid w:val="007C1E33"/>
    <w:rsid w:val="007D3496"/>
    <w:rsid w:val="00807605"/>
    <w:rsid w:val="00837456"/>
    <w:rsid w:val="008A783F"/>
    <w:rsid w:val="008C2516"/>
    <w:rsid w:val="008C6EF9"/>
    <w:rsid w:val="008F428C"/>
    <w:rsid w:val="00950864"/>
    <w:rsid w:val="009E126A"/>
    <w:rsid w:val="00A17669"/>
    <w:rsid w:val="00A30E6D"/>
    <w:rsid w:val="00AB005C"/>
    <w:rsid w:val="00BB31C7"/>
    <w:rsid w:val="00BD69A2"/>
    <w:rsid w:val="00C134E4"/>
    <w:rsid w:val="00C360CD"/>
    <w:rsid w:val="00CA45BA"/>
    <w:rsid w:val="00CB4C50"/>
    <w:rsid w:val="00CD4B07"/>
    <w:rsid w:val="00CD7319"/>
    <w:rsid w:val="00D14EB1"/>
    <w:rsid w:val="00D2536B"/>
    <w:rsid w:val="00D25C5C"/>
    <w:rsid w:val="00D657E8"/>
    <w:rsid w:val="00DE1002"/>
    <w:rsid w:val="00E160E1"/>
    <w:rsid w:val="00E91C48"/>
    <w:rsid w:val="00EE17A8"/>
    <w:rsid w:val="00EE233C"/>
    <w:rsid w:val="00F950D2"/>
    <w:rsid w:val="00FC211E"/>
    <w:rsid w:val="01620D9F"/>
    <w:rsid w:val="03400B46"/>
    <w:rsid w:val="04A42800"/>
    <w:rsid w:val="05B956DB"/>
    <w:rsid w:val="062D1677"/>
    <w:rsid w:val="07040003"/>
    <w:rsid w:val="080E0249"/>
    <w:rsid w:val="0BE73E0A"/>
    <w:rsid w:val="0C4D7C21"/>
    <w:rsid w:val="0D643474"/>
    <w:rsid w:val="0DFE4B58"/>
    <w:rsid w:val="0E0E4C97"/>
    <w:rsid w:val="0F2C6CC9"/>
    <w:rsid w:val="10072DFF"/>
    <w:rsid w:val="106A1193"/>
    <w:rsid w:val="10832956"/>
    <w:rsid w:val="11DC7709"/>
    <w:rsid w:val="130736EC"/>
    <w:rsid w:val="13C27285"/>
    <w:rsid w:val="16D2630A"/>
    <w:rsid w:val="18A94CDC"/>
    <w:rsid w:val="1A7B1B8E"/>
    <w:rsid w:val="1B965642"/>
    <w:rsid w:val="1CA4563B"/>
    <w:rsid w:val="1D3C70E5"/>
    <w:rsid w:val="1EBB1A4A"/>
    <w:rsid w:val="1F745F7B"/>
    <w:rsid w:val="21B71AA9"/>
    <w:rsid w:val="22854715"/>
    <w:rsid w:val="23C6233B"/>
    <w:rsid w:val="24E52AD8"/>
    <w:rsid w:val="27FA41C5"/>
    <w:rsid w:val="2885221B"/>
    <w:rsid w:val="29C074A8"/>
    <w:rsid w:val="2AAD28B1"/>
    <w:rsid w:val="2B4331DB"/>
    <w:rsid w:val="2BE23A85"/>
    <w:rsid w:val="2EAC6D51"/>
    <w:rsid w:val="2F38113B"/>
    <w:rsid w:val="2FA91D97"/>
    <w:rsid w:val="308255E1"/>
    <w:rsid w:val="313F480D"/>
    <w:rsid w:val="31A03BB1"/>
    <w:rsid w:val="37241ABE"/>
    <w:rsid w:val="39DF3075"/>
    <w:rsid w:val="3A045426"/>
    <w:rsid w:val="3C0435A9"/>
    <w:rsid w:val="40A93F88"/>
    <w:rsid w:val="40EB11DB"/>
    <w:rsid w:val="426C5343"/>
    <w:rsid w:val="42E439B8"/>
    <w:rsid w:val="44E83EA4"/>
    <w:rsid w:val="46487391"/>
    <w:rsid w:val="471A509E"/>
    <w:rsid w:val="47C5526A"/>
    <w:rsid w:val="48FA55AB"/>
    <w:rsid w:val="49886893"/>
    <w:rsid w:val="49A71944"/>
    <w:rsid w:val="4AA24DDB"/>
    <w:rsid w:val="4AED3629"/>
    <w:rsid w:val="4B0A38A4"/>
    <w:rsid w:val="4D617A32"/>
    <w:rsid w:val="4D7B134F"/>
    <w:rsid w:val="506202F9"/>
    <w:rsid w:val="530F2B07"/>
    <w:rsid w:val="5761062C"/>
    <w:rsid w:val="57B61F8E"/>
    <w:rsid w:val="58E2051F"/>
    <w:rsid w:val="5B2D2360"/>
    <w:rsid w:val="5E7E78C9"/>
    <w:rsid w:val="60D64C64"/>
    <w:rsid w:val="62C205D0"/>
    <w:rsid w:val="64547F88"/>
    <w:rsid w:val="65FA3C70"/>
    <w:rsid w:val="670A1B0C"/>
    <w:rsid w:val="687C58B0"/>
    <w:rsid w:val="68A70859"/>
    <w:rsid w:val="6B7E4CA1"/>
    <w:rsid w:val="6C4A5B20"/>
    <w:rsid w:val="6C757A27"/>
    <w:rsid w:val="6E9C59BA"/>
    <w:rsid w:val="700215D2"/>
    <w:rsid w:val="71CC29A8"/>
    <w:rsid w:val="72321DB9"/>
    <w:rsid w:val="73084BA6"/>
    <w:rsid w:val="76E10096"/>
    <w:rsid w:val="77205ABA"/>
    <w:rsid w:val="78CC6C21"/>
    <w:rsid w:val="78FC3B12"/>
    <w:rsid w:val="7A31097F"/>
    <w:rsid w:val="7C17425D"/>
    <w:rsid w:val="7D7351CD"/>
    <w:rsid w:val="7E3F4068"/>
    <w:rsid w:val="7EF05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spacing w:before="120" w:beforeLines="0" w:after="120" w:afterLines="0"/>
      <w:jc w:val="left"/>
    </w:pPr>
    <w:rPr>
      <w:b/>
      <w:bCs/>
      <w:caps/>
      <w:sz w:val="20"/>
    </w:rPr>
  </w:style>
  <w:style w:type="paragraph" w:styleId="3">
    <w:name w:val="Normal Indent"/>
    <w:basedOn w:val="1"/>
    <w:qFormat/>
    <w:uiPriority w:val="0"/>
    <w:pPr>
      <w:ind w:firstLine="420"/>
    </w:pPr>
    <w:rPr>
      <w:rFonts w:ascii="仿宋_GB2312" w:hAnsi="Times New Roman" w:eastAsia="仿宋_GB2312" w:cs="Times New Roman"/>
      <w:kern w:val="0"/>
      <w:sz w:val="30"/>
      <w:szCs w:val="30"/>
    </w:rPr>
  </w:style>
  <w:style w:type="paragraph" w:styleId="4">
    <w:name w:val="annotation text"/>
    <w:basedOn w:val="1"/>
    <w:link w:val="15"/>
    <w:semiHidden/>
    <w:unhideWhenUsed/>
    <w:qFormat/>
    <w:uiPriority w:val="99"/>
    <w:pPr>
      <w:jc w:val="left"/>
    </w:pPr>
  </w:style>
  <w:style w:type="paragraph" w:styleId="5">
    <w:name w:val="Body Text"/>
    <w:basedOn w:val="1"/>
    <w:next w:val="1"/>
    <w:qFormat/>
    <w:uiPriority w:val="0"/>
    <w:pPr>
      <w:spacing w:after="120"/>
    </w:pPr>
    <w:rPr>
      <w:rFonts w:cs="Times New Roman"/>
    </w:rPr>
  </w:style>
  <w:style w:type="paragraph" w:styleId="6">
    <w:name w:val="endnote text"/>
    <w:basedOn w:val="1"/>
    <w:qFormat/>
    <w:uiPriority w:val="0"/>
    <w:pPr>
      <w:snapToGrid w:val="0"/>
      <w:jc w:val="left"/>
    </w:pPr>
    <w:rPr>
      <w:sz w:val="21"/>
    </w:rPr>
  </w:style>
  <w:style w:type="paragraph" w:styleId="7">
    <w:name w:val="Balloon Text"/>
    <w:basedOn w:val="1"/>
    <w:link w:val="22"/>
    <w:semiHidden/>
    <w:unhideWhenUsed/>
    <w:qFormat/>
    <w:uiPriority w:val="99"/>
    <w:rPr>
      <w:sz w:val="18"/>
      <w:szCs w:val="18"/>
    </w:rPr>
  </w:style>
  <w:style w:type="paragraph" w:styleId="8">
    <w:name w:val="footer"/>
    <w:basedOn w:val="1"/>
    <w:link w:val="16"/>
    <w:autoRedefine/>
    <w:unhideWhenUsed/>
    <w:qFormat/>
    <w:uiPriority w:val="99"/>
    <w:pPr>
      <w:tabs>
        <w:tab w:val="center" w:pos="4153"/>
        <w:tab w:val="right" w:pos="8306"/>
      </w:tabs>
      <w:snapToGrid w:val="0"/>
      <w:jc w:val="center"/>
    </w:pPr>
    <w:rPr>
      <w:sz w:val="18"/>
      <w:szCs w:val="18"/>
      <w14:ligatures w14:val="standardContextual"/>
    </w:rPr>
  </w:style>
  <w:style w:type="paragraph" w:styleId="9">
    <w:name w:val="header"/>
    <w:basedOn w:val="1"/>
    <w:link w:val="18"/>
    <w:unhideWhenUsed/>
    <w:qFormat/>
    <w:uiPriority w:val="99"/>
    <w:pPr>
      <w:tabs>
        <w:tab w:val="center" w:pos="4153"/>
        <w:tab w:val="right" w:pos="8306"/>
      </w:tabs>
      <w:snapToGrid w:val="0"/>
      <w:jc w:val="center"/>
    </w:pPr>
    <w:rPr>
      <w:sz w:val="18"/>
      <w:szCs w:val="18"/>
    </w:rPr>
  </w:style>
  <w:style w:type="paragraph" w:styleId="10">
    <w:name w:val="Body Text First Indent"/>
    <w:basedOn w:val="5"/>
    <w:qFormat/>
    <w:uiPriority w:val="0"/>
    <w:pPr>
      <w:ind w:firstLine="420" w:firstLineChars="100"/>
    </w:pPr>
    <w:rPr>
      <w:sz w:val="28"/>
    </w:rPr>
  </w:style>
  <w:style w:type="paragraph" w:styleId="11">
    <w:name w:val="Body Text First Indent 2"/>
    <w:basedOn w:val="1"/>
    <w:qFormat/>
    <w:uiPriority w:val="0"/>
    <w:pPr>
      <w:ind w:firstLine="420"/>
    </w:pPr>
  </w:style>
  <w:style w:type="character" w:styleId="14">
    <w:name w:val="annotation reference"/>
    <w:basedOn w:val="13"/>
    <w:semiHidden/>
    <w:unhideWhenUsed/>
    <w:qFormat/>
    <w:uiPriority w:val="99"/>
    <w:rPr>
      <w:sz w:val="21"/>
      <w:szCs w:val="21"/>
    </w:rPr>
  </w:style>
  <w:style w:type="character" w:customStyle="1" w:styleId="15">
    <w:name w:val="批注文字 Char"/>
    <w:basedOn w:val="13"/>
    <w:link w:val="4"/>
    <w:semiHidden/>
    <w:qFormat/>
    <w:uiPriority w:val="99"/>
  </w:style>
  <w:style w:type="character" w:customStyle="1" w:styleId="16">
    <w:name w:val="页脚 Char"/>
    <w:basedOn w:val="13"/>
    <w:link w:val="8"/>
    <w:qFormat/>
    <w:uiPriority w:val="99"/>
    <w:rPr>
      <w:sz w:val="18"/>
      <w:szCs w:val="18"/>
      <w14:ligatures w14:val="standardContextual"/>
    </w:rPr>
  </w:style>
  <w:style w:type="paragraph" w:customStyle="1" w:styleId="17">
    <w:name w:val="样式3（代正文）"/>
    <w:qFormat/>
    <w:uiPriority w:val="0"/>
    <w:pPr>
      <w:widowControl w:val="0"/>
      <w:adjustRightInd w:val="0"/>
      <w:snapToGrid w:val="0"/>
      <w:spacing w:line="520" w:lineRule="exact"/>
      <w:ind w:firstLine="560" w:firstLineChars="200"/>
    </w:pPr>
    <w:rPr>
      <w:rFonts w:ascii="Times New Roman" w:hAnsi="Times New Roman" w:eastAsia="宋体" w:cs="Times New Roman"/>
      <w:snapToGrid w:val="0"/>
      <w:color w:val="0070C0"/>
      <w:sz w:val="28"/>
      <w:lang w:val="en-US" w:eastAsia="zh-CN" w:bidi="ar-SA"/>
    </w:rPr>
  </w:style>
  <w:style w:type="character" w:customStyle="1" w:styleId="18">
    <w:name w:val="页眉 Char"/>
    <w:basedOn w:val="13"/>
    <w:link w:val="9"/>
    <w:qFormat/>
    <w:uiPriority w:val="99"/>
    <w:rPr>
      <w:sz w:val="18"/>
      <w:szCs w:val="18"/>
    </w:rPr>
  </w:style>
  <w:style w:type="paragraph" w:customStyle="1" w:styleId="19">
    <w:name w:val="01级"/>
    <w:basedOn w:val="20"/>
    <w:qFormat/>
    <w:uiPriority w:val="0"/>
    <w:pPr>
      <w:numPr>
        <w:ilvl w:val="0"/>
        <w:numId w:val="1"/>
      </w:numPr>
      <w:adjustRightInd w:val="0"/>
      <w:snapToGrid w:val="0"/>
      <w:spacing w:before="50" w:beforeLines="50" w:after="50" w:afterLines="50"/>
      <w:ind w:firstLineChars="0"/>
      <w:jc w:val="center"/>
      <w:outlineLvl w:val="0"/>
    </w:pPr>
    <w:rPr>
      <w:rFonts w:ascii="黑体" w:hAnsi="黑体" w:eastAsia="黑体" w:cs="黑体"/>
      <w:b/>
      <w:bCs/>
      <w:spacing w:val="24"/>
      <w:sz w:val="36"/>
      <w:szCs w:val="36"/>
    </w:rPr>
  </w:style>
  <w:style w:type="paragraph" w:styleId="20">
    <w:name w:val="List Paragraph"/>
    <w:basedOn w:val="1"/>
    <w:qFormat/>
    <w:uiPriority w:val="34"/>
    <w:pPr>
      <w:ind w:firstLine="420" w:firstLineChars="200"/>
    </w:pPr>
  </w:style>
  <w:style w:type="character" w:customStyle="1" w:styleId="21">
    <w:name w:val="NormalCharacter"/>
    <w:semiHidden/>
    <w:qFormat/>
    <w:uiPriority w:val="0"/>
  </w:style>
  <w:style w:type="character" w:customStyle="1" w:styleId="22">
    <w:name w:val="批注框文本 Char"/>
    <w:basedOn w:val="13"/>
    <w:link w:val="7"/>
    <w:semiHidden/>
    <w:qFormat/>
    <w:uiPriority w:val="99"/>
    <w:rPr>
      <w:kern w:val="2"/>
      <w:sz w:val="18"/>
      <w:szCs w:val="18"/>
    </w:rPr>
  </w:style>
  <w:style w:type="paragraph" w:customStyle="1" w:styleId="23">
    <w:name w:val="Char Char8 Char Char Char Char Char Char Char Char"/>
    <w:basedOn w:val="1"/>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2640</Words>
  <Characters>2864</Characters>
  <Lines>20</Lines>
  <Paragraphs>5</Paragraphs>
  <TotalTime>0</TotalTime>
  <ScaleCrop>false</ScaleCrop>
  <LinksUpToDate>false</LinksUpToDate>
  <CharactersWithSpaces>2905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2025-01-21T14:32:00Z</dcterms:created>
  <dc:creator>Administrator</dc:creator>
  <cp:lastModifiedBy>Roger1393936739</cp:lastModifiedBy>
  <cp:lastPrinted>2025-01-22T09:00:00Z</cp:lastPrinted>
  <dcterms:modified xsi:type="dcterms:W3CDTF">2025-06-19T03:44:50Z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eyJoZGlkIjoiY2RmYTRiNzg2ZGJiMGI5ZWNhOTg3YmM0MDRlOWY1NDYiLCJ1c2VySWQiOiIxMjA4NTQ2MyJ9</vt:lpwstr>
  </property>
  <property fmtid="{D5CDD505-2E9C-101B-9397-08002B2CF9AE}" pid="3" name="KSOProductBuildVer">
    <vt:lpwstr>2052-12.1.0.20784</vt:lpwstr>
  </property>
  <property fmtid="{D5CDD505-2E9C-101B-9397-08002B2CF9AE}" pid="4" name="ICV">
    <vt:lpwstr>47084E3451464312AF132A13D3DC10A4_12</vt:lpwstr>
  </property>
</Properties>
</file>