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FAA3A">
      <w:pPr>
        <w:pStyle w:val="11"/>
        <w:ind w:left="0" w:leftChars="0" w:firstLine="0" w:firstLineChars="0"/>
        <w:jc w:val="both"/>
        <w:rPr>
          <w:rFonts w:hint="eastAsia"/>
          <w:color w:val="auto"/>
          <w:spacing w:val="0"/>
          <w:w w:val="100"/>
          <w:highlight w:val="none"/>
        </w:rPr>
      </w:pPr>
      <w:r>
        <w:rPr>
          <w:rFonts w:hint="eastAsia" w:ascii="黑体" w:hAnsi="黑体" w:eastAsia="黑体" w:cs="黑体"/>
          <w:color w:val="auto"/>
          <w:spacing w:val="0"/>
          <w:w w:val="100"/>
          <w:kern w:val="2"/>
          <w:sz w:val="32"/>
          <w:szCs w:val="32"/>
          <w:highlight w:val="none"/>
          <w:lang w:val="en-US" w:eastAsia="zh-CN" w:bidi="ar-SA"/>
        </w:rPr>
        <w:t>附件1</w:t>
      </w:r>
    </w:p>
    <w:p w14:paraId="2593D2A6">
      <w:pPr>
        <w:pStyle w:val="11"/>
        <w:ind w:left="0" w:leftChars="0" w:firstLine="0" w:firstLineChars="0"/>
        <w:jc w:val="center"/>
        <w:rPr>
          <w:rFonts w:hint="eastAsia"/>
          <w:color w:val="auto"/>
          <w:spacing w:val="0"/>
          <w:w w:val="100"/>
          <w:highlight w:val="none"/>
        </w:rPr>
      </w:pPr>
    </w:p>
    <w:p w14:paraId="0FE83C6F">
      <w:pPr>
        <w:pStyle w:val="11"/>
        <w:ind w:left="0" w:leftChars="0" w:firstLine="0" w:firstLineChars="0"/>
        <w:jc w:val="center"/>
        <w:rPr>
          <w:rFonts w:hint="eastAsia"/>
          <w:color w:val="auto"/>
          <w:spacing w:val="0"/>
          <w:w w:val="100"/>
          <w:highlight w:val="none"/>
        </w:rPr>
      </w:pPr>
    </w:p>
    <w:p w14:paraId="5D0E01EA">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37797778">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157AAC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w:t>
      </w:r>
      <w:r>
        <w:rPr>
          <w:rFonts w:hint="eastAsia" w:ascii="黑体" w:hAnsi="黑体" w:eastAsia="黑体" w:cs="黑体"/>
          <w:color w:val="auto"/>
          <w:spacing w:val="0"/>
          <w:w w:val="100"/>
          <w:sz w:val="44"/>
          <w:szCs w:val="44"/>
          <w:highlight w:val="none"/>
          <w:lang w:eastAsia="zh-CN"/>
        </w:rPr>
        <w:t>鄂尔多斯市</w:t>
      </w:r>
      <w:r>
        <w:rPr>
          <w:rFonts w:hint="eastAsia" w:ascii="黑体" w:hAnsi="黑体" w:eastAsia="黑体" w:cs="黑体"/>
          <w:color w:val="auto"/>
          <w:spacing w:val="0"/>
          <w:w w:val="100"/>
          <w:sz w:val="44"/>
          <w:szCs w:val="44"/>
          <w:highlight w:val="none"/>
          <w:lang w:val="en-US" w:eastAsia="zh-CN"/>
        </w:rPr>
        <w:t>东胜区</w:t>
      </w:r>
      <w:r>
        <w:rPr>
          <w:rFonts w:hint="eastAsia" w:ascii="黑体" w:hAnsi="黑体" w:eastAsia="黑体" w:cs="黑体"/>
          <w:color w:val="auto"/>
          <w:spacing w:val="0"/>
          <w:w w:val="100"/>
          <w:sz w:val="44"/>
          <w:szCs w:val="44"/>
          <w:highlight w:val="none"/>
          <w:lang w:eastAsia="zh-CN"/>
        </w:rPr>
        <w:t>广鸿商贸有限公司</w:t>
      </w:r>
      <w:r>
        <w:rPr>
          <w:rFonts w:hint="eastAsia" w:ascii="黑体" w:hAnsi="黑体" w:eastAsia="黑体" w:cs="黑体"/>
          <w:color w:val="auto"/>
          <w:spacing w:val="0"/>
          <w:w w:val="100"/>
          <w:sz w:val="44"/>
          <w:szCs w:val="44"/>
          <w:highlight w:val="none"/>
          <w:lang w:val="en-US" w:eastAsia="zh-CN"/>
        </w:rPr>
        <w:t>砂石</w:t>
      </w:r>
      <w:r>
        <w:rPr>
          <w:rFonts w:hint="eastAsia" w:ascii="黑体" w:hAnsi="黑体" w:eastAsia="黑体" w:cs="黑体"/>
          <w:color w:val="auto"/>
          <w:spacing w:val="0"/>
          <w:w w:val="100"/>
          <w:sz w:val="44"/>
          <w:szCs w:val="44"/>
          <w:highlight w:val="none"/>
          <w:lang w:eastAsia="zh-CN"/>
        </w:rPr>
        <w:t>矿矿产资源开发利用与保护总体方案</w:t>
      </w:r>
      <w:r>
        <w:rPr>
          <w:rFonts w:hint="eastAsia" w:ascii="黑体" w:hAnsi="黑体" w:eastAsia="黑体" w:cs="黑体"/>
          <w:color w:val="auto"/>
          <w:spacing w:val="0"/>
          <w:w w:val="100"/>
          <w:sz w:val="44"/>
          <w:szCs w:val="44"/>
          <w:highlight w:val="none"/>
        </w:rPr>
        <w:t>》</w:t>
      </w:r>
    </w:p>
    <w:p w14:paraId="2B24D0E8">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242520C8">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34D5BB7D">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4AD5C8F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14:paraId="49754BF0">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25CDC4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号</w:t>
      </w:r>
    </w:p>
    <w:p w14:paraId="4F7D96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179B8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9A1E8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B7D8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20DF3B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01E59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59E1B26A">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2DAE212">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007DFDBE">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541976F">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0C4D900">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6955F78">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62E4565">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4BEEAE3E">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C6D6958">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F60E5D1">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74FFF3B">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2EEA09F">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D5AD4AD">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A3193F2">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24F8BB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09F4C9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14:paraId="1ED1A77C">
      <w:pPr>
        <w:pStyle w:val="11"/>
        <w:jc w:val="center"/>
        <w:rPr>
          <w:rFonts w:hint="eastAsia"/>
          <w:color w:val="auto"/>
          <w:spacing w:val="0"/>
          <w:w w:val="100"/>
          <w:highlight w:val="none"/>
        </w:rPr>
      </w:pPr>
    </w:p>
    <w:p w14:paraId="2579A8C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6</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19</w:t>
      </w:r>
      <w:r>
        <w:rPr>
          <w:rFonts w:hint="eastAsia" w:ascii="宋体" w:hAnsi="宋体" w:eastAsia="宋体" w:cs="宋体"/>
          <w:color w:val="auto"/>
          <w:spacing w:val="0"/>
          <w:w w:val="100"/>
          <w:sz w:val="32"/>
          <w:szCs w:val="32"/>
          <w:highlight w:val="none"/>
        </w:rPr>
        <w:t>日</w:t>
      </w:r>
    </w:p>
    <w:p w14:paraId="649AAE71">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1" w:footer="992" w:gutter="0"/>
          <w:pgNumType w:fmt="decimal" w:start="0"/>
          <w:cols w:space="0" w:num="1"/>
          <w:rtlGutter w:val="0"/>
          <w:docGrid w:linePitch="326" w:charSpace="0"/>
        </w:sectPr>
      </w:pPr>
    </w:p>
    <w:p w14:paraId="70BB264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154245409"/>
          <w:lang w:eastAsia="zh-CN"/>
        </w:rPr>
        <w:t>申报单</w:t>
      </w:r>
      <w:r>
        <w:rPr>
          <w:rFonts w:hint="eastAsia" w:ascii="宋体" w:hAnsi="宋体" w:eastAsia="宋体" w:cs="宋体"/>
          <w:color w:val="auto"/>
          <w:spacing w:val="1"/>
          <w:w w:val="100"/>
          <w:kern w:val="0"/>
          <w:sz w:val="32"/>
          <w:szCs w:val="32"/>
          <w:highlight w:val="none"/>
          <w:fitText w:val="1600" w:id="1154245409"/>
          <w:lang w:eastAsia="zh-CN"/>
        </w:rPr>
        <w:t>位</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鄂尔多斯市东胜区广鸿商贸有限公司</w:t>
      </w:r>
    </w:p>
    <w:p w14:paraId="349A00B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color w:val="auto"/>
          <w:spacing w:val="53"/>
          <w:w w:val="100"/>
          <w:kern w:val="0"/>
          <w:sz w:val="32"/>
          <w:szCs w:val="32"/>
          <w:highlight w:val="none"/>
          <w:fitText w:val="1600" w:id="1569396355"/>
          <w:lang w:eastAsia="zh-CN"/>
        </w:rPr>
        <w:t>编制单</w:t>
      </w:r>
      <w:r>
        <w:rPr>
          <w:rFonts w:hint="eastAsia" w:ascii="宋体" w:hAnsi="宋体" w:eastAsia="宋体" w:cs="宋体"/>
          <w:color w:val="auto"/>
          <w:spacing w:val="1"/>
          <w:w w:val="100"/>
          <w:kern w:val="0"/>
          <w:sz w:val="32"/>
          <w:szCs w:val="32"/>
          <w:highlight w:val="none"/>
          <w:fitText w:val="1600" w:id="1569396355"/>
          <w:lang w:eastAsia="zh-CN"/>
        </w:rPr>
        <w:t>位</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内蒙古铭坤技术服务有限公司</w:t>
      </w:r>
    </w:p>
    <w:p w14:paraId="0FEDE32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主要编写人：李  勇  柏  乐  王  莎</w:t>
      </w:r>
    </w:p>
    <w:p w14:paraId="462B1FA9">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吕  飞  李  超  李  嘉</w:t>
      </w:r>
    </w:p>
    <w:p w14:paraId="54E6FC8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69396355"/>
          <w:lang w:eastAsia="zh-CN"/>
        </w:rPr>
        <w:t>编制日</w:t>
      </w:r>
      <w:r>
        <w:rPr>
          <w:rFonts w:hint="eastAsia" w:ascii="宋体" w:hAnsi="宋体" w:eastAsia="宋体" w:cs="宋体"/>
          <w:color w:val="auto"/>
          <w:spacing w:val="1"/>
          <w:w w:val="100"/>
          <w:kern w:val="0"/>
          <w:sz w:val="32"/>
          <w:szCs w:val="32"/>
          <w:highlight w:val="none"/>
          <w:fitText w:val="1600" w:id="1569396355"/>
          <w:lang w:eastAsia="zh-CN"/>
        </w:rPr>
        <w:t>期</w:t>
      </w:r>
      <w:r>
        <w:rPr>
          <w:rFonts w:hint="eastAsia" w:ascii="宋体" w:hAnsi="宋体" w:eastAsia="宋体" w:cs="宋体"/>
          <w:bCs/>
          <w:color w:val="auto"/>
          <w:spacing w:val="0"/>
          <w:w w:val="100"/>
          <w:sz w:val="32"/>
          <w:szCs w:val="32"/>
          <w:highlight w:val="none"/>
          <w:lang w:eastAsia="zh-CN"/>
        </w:rPr>
        <w:t>：2025年</w:t>
      </w:r>
      <w:r>
        <w:rPr>
          <w:rFonts w:hint="eastAsia" w:ascii="宋体" w:hAnsi="宋体" w:eastAsia="宋体" w:cs="宋体"/>
          <w:bCs/>
          <w:color w:val="auto"/>
          <w:spacing w:val="0"/>
          <w:w w:val="100"/>
          <w:sz w:val="32"/>
          <w:szCs w:val="32"/>
          <w:highlight w:val="none"/>
          <w:lang w:val="en-US" w:eastAsia="zh-CN"/>
        </w:rPr>
        <w:t>4</w:t>
      </w:r>
      <w:r>
        <w:rPr>
          <w:rFonts w:hint="eastAsia" w:ascii="宋体" w:hAnsi="宋体" w:eastAsia="宋体" w:cs="宋体"/>
          <w:bCs/>
          <w:color w:val="auto"/>
          <w:spacing w:val="0"/>
          <w:w w:val="100"/>
          <w:sz w:val="32"/>
          <w:szCs w:val="32"/>
          <w:highlight w:val="none"/>
          <w:lang w:eastAsia="zh-CN"/>
        </w:rPr>
        <w:t>月</w:t>
      </w:r>
    </w:p>
    <w:p w14:paraId="1D16935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69396355"/>
          <w:lang w:eastAsia="zh-CN"/>
        </w:rPr>
        <w:t>受理日</w:t>
      </w:r>
      <w:r>
        <w:rPr>
          <w:rFonts w:hint="eastAsia" w:ascii="宋体" w:hAnsi="宋体" w:eastAsia="宋体" w:cs="宋体"/>
          <w:color w:val="auto"/>
          <w:spacing w:val="1"/>
          <w:w w:val="100"/>
          <w:kern w:val="0"/>
          <w:sz w:val="32"/>
          <w:szCs w:val="32"/>
          <w:highlight w:val="none"/>
          <w:fitText w:val="1600" w:id="1569396355"/>
          <w:lang w:eastAsia="zh-CN"/>
        </w:rPr>
        <w:t>期</w:t>
      </w:r>
      <w:r>
        <w:rPr>
          <w:rFonts w:hint="eastAsia" w:ascii="宋体" w:hAnsi="宋体" w:eastAsia="宋体" w:cs="宋体"/>
          <w:bCs/>
          <w:color w:val="auto"/>
          <w:spacing w:val="0"/>
          <w:w w:val="100"/>
          <w:sz w:val="32"/>
          <w:szCs w:val="32"/>
          <w:highlight w:val="none"/>
          <w:lang w:eastAsia="zh-CN"/>
        </w:rPr>
        <w:t>：2025年5月1</w:t>
      </w:r>
      <w:r>
        <w:rPr>
          <w:rFonts w:hint="eastAsia" w:ascii="宋体" w:hAnsi="宋体" w:eastAsia="宋体" w:cs="宋体"/>
          <w:bCs/>
          <w:color w:val="auto"/>
          <w:spacing w:val="0"/>
          <w:w w:val="100"/>
          <w:sz w:val="32"/>
          <w:szCs w:val="32"/>
          <w:highlight w:val="none"/>
          <w:lang w:val="en-US" w:eastAsia="zh-CN"/>
        </w:rPr>
        <w:t>6</w:t>
      </w:r>
      <w:r>
        <w:rPr>
          <w:rFonts w:hint="eastAsia" w:ascii="宋体" w:hAnsi="宋体" w:eastAsia="宋体" w:cs="宋体"/>
          <w:bCs/>
          <w:color w:val="auto"/>
          <w:spacing w:val="0"/>
          <w:w w:val="100"/>
          <w:sz w:val="32"/>
          <w:szCs w:val="32"/>
          <w:highlight w:val="none"/>
          <w:lang w:eastAsia="zh-CN"/>
        </w:rPr>
        <w:t>日</w:t>
      </w:r>
    </w:p>
    <w:p w14:paraId="637B01E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160"/>
          <w:w w:val="100"/>
          <w:kern w:val="0"/>
          <w:sz w:val="32"/>
          <w:szCs w:val="32"/>
          <w:highlight w:val="none"/>
          <w:fitText w:val="1600" w:id="1569396355"/>
          <w:lang w:eastAsia="zh-CN"/>
        </w:rPr>
        <w:t>汇报</w:t>
      </w:r>
      <w:r>
        <w:rPr>
          <w:rFonts w:hint="eastAsia" w:ascii="宋体" w:hAnsi="宋体" w:eastAsia="宋体" w:cs="宋体"/>
          <w:color w:val="auto"/>
          <w:spacing w:val="0"/>
          <w:w w:val="100"/>
          <w:kern w:val="0"/>
          <w:sz w:val="32"/>
          <w:szCs w:val="32"/>
          <w:highlight w:val="none"/>
          <w:fitText w:val="1600" w:id="1569396355"/>
          <w:lang w:eastAsia="zh-CN"/>
        </w:rPr>
        <w:t>人</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李  勇</w:t>
      </w:r>
    </w:p>
    <w:p w14:paraId="1E22564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审查专家组</w:t>
      </w:r>
    </w:p>
    <w:p w14:paraId="63AE76C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组  长：</w:t>
      </w:r>
      <w:r>
        <w:rPr>
          <w:rFonts w:hint="eastAsia" w:ascii="宋体" w:hAnsi="宋体" w:eastAsia="宋体" w:cs="宋体"/>
          <w:bCs/>
          <w:color w:val="auto"/>
          <w:spacing w:val="0"/>
          <w:w w:val="100"/>
          <w:sz w:val="32"/>
          <w:szCs w:val="32"/>
          <w:highlight w:val="none"/>
          <w:lang w:val="en-US" w:eastAsia="zh-CN"/>
        </w:rPr>
        <w:t>孙坚刚</w:t>
      </w:r>
      <w:r>
        <w:rPr>
          <w:rFonts w:hint="eastAsia" w:ascii="宋体" w:hAnsi="宋体" w:eastAsia="宋体" w:cs="宋体"/>
          <w:bCs/>
          <w:color w:val="auto"/>
          <w:spacing w:val="0"/>
          <w:w w:val="100"/>
          <w:sz w:val="32"/>
          <w:szCs w:val="32"/>
          <w:highlight w:val="none"/>
          <w:lang w:eastAsia="zh-CN"/>
        </w:rPr>
        <w:t>（采矿）</w:t>
      </w:r>
    </w:p>
    <w:p w14:paraId="0BD966F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成</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员：</w:t>
      </w:r>
      <w:r>
        <w:rPr>
          <w:rFonts w:hint="eastAsia" w:ascii="宋体" w:hAnsi="宋体" w:eastAsia="宋体" w:cs="宋体"/>
          <w:bCs/>
          <w:color w:val="auto"/>
          <w:spacing w:val="0"/>
          <w:w w:val="100"/>
          <w:sz w:val="32"/>
          <w:szCs w:val="32"/>
          <w:highlight w:val="none"/>
          <w:lang w:val="en-US" w:eastAsia="zh-CN"/>
        </w:rPr>
        <w:t>贾玉峰</w:t>
      </w:r>
      <w:r>
        <w:rPr>
          <w:rFonts w:hint="eastAsia" w:ascii="宋体" w:hAnsi="宋体" w:eastAsia="宋体" w:cs="宋体"/>
          <w:bCs/>
          <w:color w:val="auto"/>
          <w:spacing w:val="0"/>
          <w:w w:val="100"/>
          <w:sz w:val="32"/>
          <w:szCs w:val="32"/>
          <w:highlight w:val="none"/>
          <w:lang w:eastAsia="zh-CN"/>
        </w:rPr>
        <w:t>（地质矿产）</w:t>
      </w:r>
      <w:r>
        <w:rPr>
          <w:rFonts w:hint="eastAsia" w:ascii="宋体" w:hAnsi="宋体" w:eastAsia="宋体" w:cs="宋体"/>
          <w:bCs/>
          <w:color w:val="auto"/>
          <w:spacing w:val="0"/>
          <w:w w:val="100"/>
          <w:sz w:val="32"/>
          <w:szCs w:val="32"/>
          <w:highlight w:val="none"/>
          <w:lang w:val="en-US" w:eastAsia="zh-CN"/>
        </w:rPr>
        <w:t xml:space="preserve">  陈  军</w:t>
      </w:r>
      <w:r>
        <w:rPr>
          <w:rFonts w:hint="eastAsia" w:ascii="宋体" w:hAnsi="宋体" w:eastAsia="宋体" w:cs="宋体"/>
          <w:bCs/>
          <w:color w:val="auto"/>
          <w:spacing w:val="0"/>
          <w:w w:val="100"/>
          <w:sz w:val="32"/>
          <w:szCs w:val="32"/>
          <w:highlight w:val="none"/>
          <w:lang w:eastAsia="zh-CN"/>
        </w:rPr>
        <w:t>（水工环）</w:t>
      </w:r>
    </w:p>
    <w:p w14:paraId="6D19106B">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val="en-US" w:eastAsia="zh-CN"/>
        </w:rPr>
        <w:t>贾凤梅</w:t>
      </w:r>
      <w:r>
        <w:rPr>
          <w:rFonts w:hint="eastAsia" w:ascii="宋体" w:hAnsi="宋体" w:eastAsia="宋体" w:cs="宋体"/>
          <w:bCs/>
          <w:color w:val="auto"/>
          <w:spacing w:val="0"/>
          <w:w w:val="100"/>
          <w:sz w:val="32"/>
          <w:szCs w:val="32"/>
          <w:highlight w:val="none"/>
          <w:lang w:eastAsia="zh-CN"/>
        </w:rPr>
        <w:t xml:space="preserve">（选矿）  </w:t>
      </w:r>
      <w:r>
        <w:rPr>
          <w:rFonts w:hint="eastAsia" w:ascii="宋体" w:hAnsi="宋体" w:eastAsia="宋体" w:cs="宋体"/>
          <w:bCs/>
          <w:color w:val="auto"/>
          <w:spacing w:val="0"/>
          <w:w w:val="100"/>
          <w:sz w:val="32"/>
          <w:szCs w:val="32"/>
          <w:highlight w:val="none"/>
          <w:lang w:val="en-US" w:eastAsia="zh-CN"/>
        </w:rPr>
        <w:t xml:space="preserve">    王海军（土地复垦）</w:t>
      </w:r>
    </w:p>
    <w:p w14:paraId="5A7053C4">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李青丰</w:t>
      </w:r>
      <w:r>
        <w:rPr>
          <w:rFonts w:hint="eastAsia" w:ascii="宋体" w:hAnsi="宋体" w:eastAsia="宋体" w:cs="宋体"/>
          <w:bCs/>
          <w:color w:val="auto"/>
          <w:spacing w:val="0"/>
          <w:w w:val="100"/>
          <w:sz w:val="32"/>
          <w:szCs w:val="32"/>
          <w:highlight w:val="none"/>
          <w:lang w:eastAsia="zh-CN"/>
        </w:rPr>
        <w:t>（生态）</w:t>
      </w:r>
      <w:r>
        <w:rPr>
          <w:rFonts w:hint="eastAsia" w:ascii="宋体" w:hAnsi="宋体" w:eastAsia="宋体" w:cs="宋体"/>
          <w:bCs/>
          <w:color w:val="auto"/>
          <w:spacing w:val="0"/>
          <w:w w:val="100"/>
          <w:sz w:val="32"/>
          <w:szCs w:val="32"/>
          <w:highlight w:val="none"/>
          <w:lang w:val="en-US" w:eastAsia="zh-CN"/>
        </w:rPr>
        <w:t xml:space="preserve">      宋利军（经济管理）</w:t>
      </w:r>
    </w:p>
    <w:p w14:paraId="0DDB099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69396355"/>
          <w:lang w:eastAsia="zh-CN"/>
        </w:rPr>
        <w:t>审查方</w:t>
      </w:r>
      <w:r>
        <w:rPr>
          <w:rFonts w:hint="eastAsia" w:ascii="宋体" w:hAnsi="宋体" w:eastAsia="宋体" w:cs="宋体"/>
          <w:color w:val="auto"/>
          <w:spacing w:val="1"/>
          <w:w w:val="100"/>
          <w:kern w:val="0"/>
          <w:sz w:val="32"/>
          <w:szCs w:val="32"/>
          <w:highlight w:val="none"/>
          <w:fitText w:val="1600" w:id="1569396355"/>
          <w:lang w:eastAsia="zh-CN"/>
        </w:rPr>
        <w:t>式</w:t>
      </w:r>
      <w:r>
        <w:rPr>
          <w:rFonts w:hint="eastAsia" w:ascii="宋体" w:hAnsi="宋体" w:eastAsia="宋体" w:cs="宋体"/>
          <w:bCs/>
          <w:color w:val="auto"/>
          <w:spacing w:val="0"/>
          <w:w w:val="100"/>
          <w:sz w:val="32"/>
          <w:szCs w:val="32"/>
          <w:highlight w:val="none"/>
          <w:lang w:eastAsia="zh-CN"/>
        </w:rPr>
        <w:t>：会议审查</w:t>
      </w:r>
    </w:p>
    <w:p w14:paraId="70B8B4E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69396355"/>
          <w:lang w:eastAsia="zh-CN"/>
        </w:rPr>
        <w:t>审查日</w:t>
      </w:r>
      <w:r>
        <w:rPr>
          <w:rFonts w:hint="eastAsia" w:ascii="宋体" w:hAnsi="宋体" w:eastAsia="宋体" w:cs="宋体"/>
          <w:color w:val="auto"/>
          <w:spacing w:val="1"/>
          <w:w w:val="100"/>
          <w:kern w:val="0"/>
          <w:sz w:val="32"/>
          <w:szCs w:val="32"/>
          <w:highlight w:val="none"/>
          <w:fitText w:val="1600" w:id="1569396355"/>
          <w:lang w:eastAsia="zh-CN"/>
        </w:rPr>
        <w:t>期</w:t>
      </w:r>
      <w:r>
        <w:rPr>
          <w:rFonts w:hint="eastAsia" w:ascii="宋体" w:hAnsi="宋体" w:eastAsia="宋体" w:cs="宋体"/>
          <w:bCs/>
          <w:color w:val="auto"/>
          <w:spacing w:val="0"/>
          <w:w w:val="100"/>
          <w:sz w:val="32"/>
          <w:szCs w:val="32"/>
          <w:highlight w:val="none"/>
          <w:lang w:eastAsia="zh-CN"/>
        </w:rPr>
        <w:t>：2025年</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20</w:t>
      </w:r>
      <w:r>
        <w:rPr>
          <w:rFonts w:hint="eastAsia" w:ascii="宋体" w:hAnsi="宋体" w:eastAsia="宋体" w:cs="宋体"/>
          <w:bCs/>
          <w:color w:val="auto"/>
          <w:spacing w:val="0"/>
          <w:w w:val="100"/>
          <w:sz w:val="32"/>
          <w:szCs w:val="32"/>
          <w:highlight w:val="none"/>
          <w:lang w:eastAsia="zh-CN"/>
        </w:rPr>
        <w:t>日</w:t>
      </w:r>
    </w:p>
    <w:p w14:paraId="144F999B">
      <w:pPr>
        <w:pStyle w:val="7"/>
        <w:keepNext w:val="0"/>
        <w:keepLines w:val="0"/>
        <w:pageBreakBefore w:val="0"/>
        <w:widowControl w:val="0"/>
        <w:kinsoku/>
        <w:wordWrap/>
        <w:overflowPunct/>
        <w:topLinePunct w:val="0"/>
        <w:autoSpaceDE/>
        <w:autoSpaceDN/>
        <w:bidi w:val="0"/>
        <w:spacing w:line="360" w:lineRule="auto"/>
        <w:ind w:left="0"/>
        <w:jc w:val="both"/>
        <w:textAlignment w:val="auto"/>
        <w:rPr>
          <w:rFonts w:hint="eastAsia"/>
          <w:lang w:eastAsia="zh-CN"/>
        </w:rPr>
      </w:pPr>
      <w:r>
        <w:rPr>
          <w:rFonts w:hint="eastAsia" w:ascii="宋体" w:hAnsi="宋体" w:eastAsia="宋体" w:cs="宋体"/>
          <w:color w:val="auto"/>
          <w:spacing w:val="0"/>
          <w:w w:val="100"/>
          <w:sz w:val="32"/>
          <w:szCs w:val="32"/>
          <w:highlight w:val="none"/>
          <w:lang w:eastAsia="zh-CN"/>
        </w:rPr>
        <w:t>复核会时间：</w:t>
      </w:r>
      <w:r>
        <w:rPr>
          <w:rFonts w:hint="eastAsia" w:ascii="宋体" w:hAnsi="宋体" w:eastAsia="宋体" w:cs="宋体"/>
          <w:bCs/>
          <w:color w:val="auto"/>
          <w:spacing w:val="0"/>
          <w:w w:val="100"/>
          <w:sz w:val="32"/>
          <w:szCs w:val="32"/>
          <w:highlight w:val="none"/>
          <w:lang w:eastAsia="zh-CN"/>
        </w:rPr>
        <w:t>202</w:t>
      </w:r>
      <w:r>
        <w:rPr>
          <w:rFonts w:hint="eastAsia" w:ascii="宋体" w:hAnsi="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年</w:t>
      </w:r>
      <w:r>
        <w:rPr>
          <w:rFonts w:hint="eastAsia" w:ascii="宋体" w:hAnsi="宋体" w:eastAsia="宋体" w:cs="宋体"/>
          <w:bCs/>
          <w:color w:val="auto"/>
          <w:spacing w:val="0"/>
          <w:w w:val="100"/>
          <w:sz w:val="32"/>
          <w:szCs w:val="32"/>
          <w:highlight w:val="none"/>
          <w:lang w:val="en-US" w:eastAsia="zh-CN"/>
        </w:rPr>
        <w:t>6</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19</w:t>
      </w:r>
      <w:r>
        <w:rPr>
          <w:rFonts w:hint="eastAsia" w:ascii="宋体" w:hAnsi="宋体" w:eastAsia="宋体" w:cs="宋体"/>
          <w:bCs/>
          <w:color w:val="auto"/>
          <w:spacing w:val="0"/>
          <w:w w:val="100"/>
          <w:sz w:val="32"/>
          <w:szCs w:val="32"/>
          <w:highlight w:val="none"/>
          <w:lang w:eastAsia="zh-CN"/>
        </w:rPr>
        <w:t>日</w:t>
      </w:r>
    </w:p>
    <w:p w14:paraId="7523075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color w:val="auto"/>
          <w:sz w:val="28"/>
          <w:szCs w:val="28"/>
        </w:rPr>
      </w:pPr>
      <w:r>
        <w:rPr>
          <w:rFonts w:hint="eastAsia" w:ascii="宋体" w:hAnsi="宋体" w:eastAsia="宋体" w:cs="宋体"/>
          <w:color w:val="auto"/>
          <w:spacing w:val="53"/>
          <w:w w:val="100"/>
          <w:kern w:val="0"/>
          <w:sz w:val="32"/>
          <w:szCs w:val="32"/>
          <w:highlight w:val="none"/>
          <w:fitText w:val="1600" w:id="1569396355"/>
          <w:lang w:eastAsia="zh-CN"/>
        </w:rPr>
        <w:t>审查地</w:t>
      </w:r>
      <w:r>
        <w:rPr>
          <w:rFonts w:hint="eastAsia" w:ascii="宋体" w:hAnsi="宋体" w:eastAsia="宋体" w:cs="宋体"/>
          <w:color w:val="auto"/>
          <w:spacing w:val="1"/>
          <w:w w:val="100"/>
          <w:kern w:val="0"/>
          <w:sz w:val="32"/>
          <w:szCs w:val="32"/>
          <w:highlight w:val="none"/>
          <w:fitText w:val="1600" w:id="1569396355"/>
          <w:lang w:eastAsia="zh-CN"/>
        </w:rPr>
        <w:t>点</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呼和浩特市</w:t>
      </w:r>
    </w:p>
    <w:p w14:paraId="2F233847">
      <w:pPr>
        <w:rPr>
          <w:rFonts w:hint="eastAsia" w:ascii="宋体" w:hAnsi="宋体"/>
          <w:color w:val="auto"/>
          <w:sz w:val="28"/>
          <w:szCs w:val="28"/>
        </w:rPr>
      </w:pPr>
    </w:p>
    <w:p w14:paraId="430592BE">
      <w:pPr>
        <w:pStyle w:val="2"/>
        <w:rPr>
          <w:rFonts w:hint="eastAsia" w:ascii="宋体" w:hAnsi="宋体"/>
          <w:color w:val="auto"/>
          <w:sz w:val="28"/>
          <w:szCs w:val="28"/>
        </w:rPr>
      </w:pPr>
    </w:p>
    <w:p w14:paraId="24EA52A9">
      <w:pPr>
        <w:rPr>
          <w:rFonts w:hint="eastAsia"/>
        </w:rPr>
      </w:pPr>
    </w:p>
    <w:p w14:paraId="4443F7D5">
      <w:pPr>
        <w:spacing w:line="440" w:lineRule="exact"/>
        <w:ind w:firstLine="560" w:firstLineChars="200"/>
        <w:rPr>
          <w:rFonts w:hint="eastAsia" w:ascii="仿宋" w:hAnsi="仿宋" w:eastAsia="仿宋" w:cs="Times New Roman"/>
          <w:color w:val="auto"/>
          <w:sz w:val="28"/>
          <w:szCs w:val="28"/>
        </w:rPr>
      </w:pPr>
    </w:p>
    <w:p w14:paraId="575C676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rPr>
        <w:sectPr>
          <w:pgSz w:w="11906" w:h="16838"/>
          <w:pgMar w:top="2098" w:right="1474" w:bottom="1984" w:left="1587" w:header="851" w:footer="992" w:gutter="0"/>
          <w:cols w:space="0" w:num="1"/>
          <w:rtlGutter w:val="0"/>
          <w:docGrid w:linePitch="312" w:charSpace="0"/>
        </w:sectPr>
      </w:pPr>
    </w:p>
    <w:p w14:paraId="02661F6B">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鄂尔多斯市地质调查监测院</w:t>
      </w:r>
      <w:r>
        <w:rPr>
          <w:rFonts w:hint="eastAsia" w:ascii="宋体" w:hAnsi="宋体" w:eastAsia="宋体" w:cs="宋体"/>
          <w:color w:val="auto"/>
          <w:sz w:val="28"/>
          <w:szCs w:val="28"/>
        </w:rPr>
        <w:t>依据《自然资源部办公厅关于印发矿产资源（非油气）开发利用方案编制指南的通知》（自然资办发〔2024〕33号）和《内蒙古自治区自然资源厅关于做好内蒙古自治区矿产资源开发利用方案审查工作的通知》（内自然资字〔2024〕487号）</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《内蒙古自治区自然资源厅关于规范和完善砂石土开采管理的通知》（内自然资字〔2024〕11号）等文件，于</w:t>
      </w:r>
      <w:bookmarkStart w:id="0" w:name="_Hlk193559118"/>
      <w:r>
        <w:rPr>
          <w:rFonts w:hint="eastAsia" w:ascii="宋体" w:hAnsi="宋体" w:eastAsia="宋体" w:cs="宋体"/>
          <w:color w:val="auto"/>
          <w:sz w:val="28"/>
          <w:szCs w:val="28"/>
        </w:rPr>
        <w:t>2025年5月</w:t>
      </w:r>
      <w:r>
        <w:rPr>
          <w:rFonts w:hint="eastAsia" w:ascii="宋体" w:hAnsi="宋体" w:eastAsia="宋体" w:cs="宋体"/>
          <w:color w:val="auto"/>
          <w:sz w:val="28"/>
          <w:szCs w:val="28"/>
          <w:lang w:val="en-US" w:eastAsia="zh-CN"/>
        </w:rPr>
        <w:t>16</w:t>
      </w:r>
      <w:r>
        <w:rPr>
          <w:rFonts w:hint="eastAsia" w:ascii="宋体" w:hAnsi="宋体" w:eastAsia="宋体" w:cs="宋体"/>
          <w:color w:val="auto"/>
          <w:sz w:val="28"/>
          <w:szCs w:val="28"/>
        </w:rPr>
        <w:t>日</w:t>
      </w:r>
      <w:bookmarkEnd w:id="0"/>
      <w:r>
        <w:rPr>
          <w:rFonts w:hint="eastAsia" w:ascii="宋体" w:hAnsi="宋体" w:eastAsia="宋体" w:cs="宋体"/>
          <w:color w:val="auto"/>
          <w:sz w:val="28"/>
          <w:szCs w:val="28"/>
        </w:rPr>
        <w:t>受理了</w:t>
      </w:r>
      <w:r>
        <w:rPr>
          <w:rFonts w:hint="eastAsia" w:ascii="宋体" w:hAnsi="宋体" w:eastAsia="宋体" w:cs="宋体"/>
          <w:color w:val="auto"/>
          <w:sz w:val="28"/>
          <w:szCs w:val="28"/>
          <w:lang w:val="en-US" w:eastAsia="zh-CN"/>
        </w:rPr>
        <w:t>鄂尔多斯市东胜区广鸿商贸有限公司</w:t>
      </w:r>
      <w:r>
        <w:rPr>
          <w:rFonts w:hint="eastAsia" w:ascii="宋体" w:hAnsi="宋体" w:eastAsia="宋体" w:cs="宋体"/>
          <w:color w:val="auto"/>
          <w:sz w:val="28"/>
          <w:szCs w:val="28"/>
        </w:rPr>
        <w:t>提交</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内蒙古铭坤技术服务有限公司编制的《</w:t>
      </w:r>
      <w:r>
        <w:rPr>
          <w:rFonts w:hint="eastAsia" w:ascii="宋体" w:hAnsi="宋体" w:eastAsia="宋体" w:cs="宋体"/>
          <w:color w:val="auto"/>
          <w:sz w:val="28"/>
          <w:szCs w:val="28"/>
          <w:lang w:val="en-US" w:eastAsia="zh-CN"/>
        </w:rPr>
        <w:t>鄂尔多斯市东胜区广鸿商贸有限公司砂石矿矿产资源开发利用与保护总体方案</w:t>
      </w:r>
      <w:r>
        <w:rPr>
          <w:rFonts w:hint="eastAsia" w:ascii="宋体" w:hAnsi="宋体" w:eastAsia="宋体" w:cs="宋体"/>
          <w:color w:val="auto"/>
          <w:sz w:val="28"/>
          <w:szCs w:val="28"/>
        </w:rPr>
        <w:t>》（以下简称《</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方案》，2025年5月</w:t>
      </w:r>
      <w:r>
        <w:rPr>
          <w:rFonts w:hint="eastAsia" w:ascii="宋体" w:hAnsi="宋体" w:eastAsia="宋体" w:cs="宋体"/>
          <w:color w:val="auto"/>
          <w:sz w:val="28"/>
          <w:szCs w:val="28"/>
          <w:lang w:val="en-US" w:eastAsia="zh-CN"/>
        </w:rPr>
        <w:t>20</w:t>
      </w:r>
      <w:r>
        <w:rPr>
          <w:rFonts w:hint="eastAsia" w:ascii="宋体" w:hAnsi="宋体" w:eastAsia="宋体" w:cs="宋体"/>
          <w:color w:val="auto"/>
          <w:sz w:val="28"/>
          <w:szCs w:val="28"/>
        </w:rPr>
        <w:t>日在</w:t>
      </w:r>
      <w:r>
        <w:rPr>
          <w:rFonts w:hint="eastAsia" w:ascii="宋体" w:hAnsi="宋体" w:eastAsia="宋体" w:cs="宋体"/>
          <w:color w:val="auto"/>
          <w:sz w:val="28"/>
          <w:szCs w:val="28"/>
          <w:lang w:val="en-US" w:eastAsia="zh-CN"/>
        </w:rPr>
        <w:t>呼和浩特市</w:t>
      </w:r>
      <w:r>
        <w:rPr>
          <w:rFonts w:hint="eastAsia" w:ascii="宋体" w:hAnsi="宋体" w:eastAsia="宋体" w:cs="宋体"/>
          <w:color w:val="auto"/>
          <w:sz w:val="28"/>
          <w:szCs w:val="28"/>
        </w:rPr>
        <w:t>组织专家</w:t>
      </w:r>
      <w:r>
        <w:rPr>
          <w:rFonts w:hint="eastAsia" w:ascii="宋体" w:hAnsi="宋体" w:eastAsia="宋体" w:cs="宋体"/>
          <w:color w:val="auto"/>
          <w:sz w:val="28"/>
          <w:szCs w:val="28"/>
          <w:lang w:val="en-US" w:eastAsia="zh-CN"/>
        </w:rPr>
        <w:t>(名单附后）</w:t>
      </w:r>
      <w:r>
        <w:rPr>
          <w:rFonts w:hint="eastAsia" w:ascii="宋体" w:hAnsi="宋体" w:eastAsia="宋体" w:cs="宋体"/>
          <w:color w:val="auto"/>
          <w:sz w:val="28"/>
          <w:szCs w:val="28"/>
        </w:rPr>
        <w:t>，对《</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方案》进行了审查。专家组在阅读报告、听取介绍、质询和讨论的基础上，形成仅供矿业权管理使用的审查意见如下：</w:t>
      </w:r>
    </w:p>
    <w:p w14:paraId="3AB6B459">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w:t>
      </w:r>
      <w:r>
        <w:rPr>
          <w:rFonts w:hint="eastAsia" w:ascii="黑体" w:hAnsi="黑体" w:eastAsia="黑体" w:cs="黑体"/>
          <w:b w:val="0"/>
          <w:bCs w:val="0"/>
          <w:color w:val="auto"/>
          <w:spacing w:val="0"/>
          <w:w w:val="100"/>
          <w:sz w:val="28"/>
          <w:szCs w:val="28"/>
          <w:highlight w:val="none"/>
          <w:lang w:val="en-US" w:eastAsia="zh-CN"/>
        </w:rPr>
        <w:t>总体</w:t>
      </w:r>
      <w:r>
        <w:rPr>
          <w:rFonts w:hint="eastAsia" w:ascii="黑体" w:hAnsi="黑体" w:eastAsia="黑体" w:cs="黑体"/>
          <w:b w:val="0"/>
          <w:bCs w:val="0"/>
          <w:color w:val="auto"/>
          <w:spacing w:val="0"/>
          <w:w w:val="100"/>
          <w:sz w:val="28"/>
          <w:szCs w:val="28"/>
          <w:highlight w:val="none"/>
        </w:rPr>
        <w:t>方案》编制目的</w:t>
      </w:r>
    </w:p>
    <w:p w14:paraId="618372E6">
      <w:pPr>
        <w:keepNext w:val="0"/>
        <w:keepLines w:val="0"/>
        <w:pageBreakBefore w:val="0"/>
        <w:widowControl w:val="0"/>
        <w:kinsoku/>
        <w:wordWrap/>
        <w:overflowPunct/>
        <w:topLinePunct w:val="0"/>
        <w:autoSpaceDE/>
        <w:autoSpaceDN/>
        <w:bidi w:val="0"/>
        <w:spacing w:line="560" w:lineRule="exact"/>
        <w:ind w:right="0" w:firstLine="560" w:firstLineChars="200"/>
        <w:textAlignment w:val="auto"/>
        <w:rPr>
          <w:rFonts w:hint="eastAsia" w:ascii="宋体" w:hAnsi="宋体" w:eastAsia="宋体" w:cs="宋体"/>
          <w:color w:val="auto"/>
          <w:sz w:val="28"/>
          <w:szCs w:val="28"/>
          <w:lang w:val="en-US" w:eastAsia="zh-CN"/>
        </w:rPr>
      </w:pPr>
      <w:bookmarkStart w:id="1" w:name="_Hlk192851854"/>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w:t>
      </w:r>
      <w:bookmarkEnd w:id="1"/>
      <w:r>
        <w:rPr>
          <w:rFonts w:hint="eastAsia" w:ascii="宋体" w:hAnsi="宋体" w:eastAsia="宋体" w:cs="宋体"/>
          <w:color w:val="auto"/>
          <w:sz w:val="28"/>
          <w:szCs w:val="28"/>
          <w:lang w:eastAsia="zh-CN"/>
        </w:rPr>
        <w:t>是</w:t>
      </w:r>
      <w:r>
        <w:rPr>
          <w:rFonts w:hint="eastAsia" w:ascii="宋体" w:hAnsi="宋体" w:eastAsia="宋体" w:cs="宋体"/>
          <w:color w:val="auto"/>
          <w:sz w:val="28"/>
          <w:szCs w:val="28"/>
          <w:lang w:val="en-US" w:eastAsia="zh-CN"/>
        </w:rPr>
        <w:t>根据2025年4月8日鄂尔多斯自然资源局办公室印发的《鄂尔多斯市自然资源局2025年第七次局长办公会议纪要》（〔2025〕30号），为解决该矿山企业无开发利用方案的历史遗留问题，经会议研究同意，按照新立矿山开发利用方案审查事项受理评审，以延续采矿许可证。</w:t>
      </w:r>
    </w:p>
    <w:p w14:paraId="4B728E7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矿区地质与矿产资源情况</w:t>
      </w:r>
    </w:p>
    <w:p w14:paraId="2CEC9D9F">
      <w:pPr>
        <w:keepNext w:val="0"/>
        <w:keepLines w:val="0"/>
        <w:pageBreakBefore w:val="0"/>
        <w:widowControl w:val="0"/>
        <w:kinsoku/>
        <w:wordWrap/>
        <w:overflowPunct/>
        <w:topLinePunct w:val="0"/>
        <w:autoSpaceDE/>
        <w:autoSpaceDN/>
        <w:bidi w:val="0"/>
        <w:adjustRightInd w:val="0"/>
        <w:snapToGrid w:val="0"/>
        <w:spacing w:line="560" w:lineRule="exact"/>
        <w:ind w:righ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方案》编制依据的《内蒙古自治区鄂尔多斯市广鸿商贸有限公司矿区建筑用砂岩矿资源储量核实报告》，已由</w:t>
      </w:r>
      <w:r>
        <w:rPr>
          <w:rFonts w:hint="eastAsia" w:ascii="宋体" w:hAnsi="宋体" w:eastAsia="宋体" w:cs="宋体"/>
          <w:color w:val="auto"/>
          <w:sz w:val="28"/>
          <w:szCs w:val="28"/>
          <w:lang w:val="en-US" w:eastAsia="zh-CN"/>
        </w:rPr>
        <w:t>达拉特旗自然资源局</w:t>
      </w:r>
      <w:r>
        <w:rPr>
          <w:rFonts w:hint="eastAsia" w:ascii="宋体" w:hAnsi="宋体" w:eastAsia="宋体" w:cs="宋体"/>
          <w:color w:val="auto"/>
          <w:sz w:val="28"/>
          <w:szCs w:val="28"/>
        </w:rPr>
        <w:t>评审通过（</w:t>
      </w:r>
      <w:r>
        <w:rPr>
          <w:rFonts w:hint="eastAsia" w:ascii="宋体" w:hAnsi="宋体" w:eastAsia="宋体" w:cs="宋体"/>
          <w:color w:val="auto"/>
          <w:sz w:val="28"/>
          <w:szCs w:val="28"/>
          <w:lang w:val="en-US" w:eastAsia="zh-CN"/>
        </w:rPr>
        <w:t>达</w:t>
      </w:r>
      <w:r>
        <w:rPr>
          <w:rFonts w:hint="eastAsia" w:ascii="宋体" w:hAnsi="宋体" w:eastAsia="宋体" w:cs="宋体"/>
          <w:color w:val="auto"/>
          <w:sz w:val="28"/>
          <w:szCs w:val="28"/>
        </w:rPr>
        <w:t>自然资储评字</w:t>
      </w:r>
      <w:r>
        <w:rPr>
          <w:rFonts w:hint="eastAsia" w:ascii="宋体" w:hAnsi="宋体" w:eastAsia="宋体" w:cs="宋体"/>
          <w:color w:val="auto"/>
          <w:sz w:val="28"/>
          <w:szCs w:val="28"/>
          <w:lang w:val="en-US" w:eastAsia="zh-CN"/>
        </w:rPr>
        <w:t>〔2022〕1</w:t>
      </w:r>
      <w:r>
        <w:rPr>
          <w:rFonts w:hint="eastAsia" w:ascii="宋体" w:hAnsi="宋体" w:eastAsia="宋体" w:cs="宋体"/>
          <w:color w:val="auto"/>
          <w:sz w:val="28"/>
          <w:szCs w:val="28"/>
        </w:rPr>
        <w:t>号），并在鄂尔多斯市自然资源局备案（鄂自然资储备字</w:t>
      </w:r>
      <w:r>
        <w:rPr>
          <w:rFonts w:hint="eastAsia" w:ascii="宋体" w:hAnsi="宋体" w:eastAsia="宋体" w:cs="宋体"/>
          <w:color w:val="auto"/>
          <w:sz w:val="28"/>
          <w:szCs w:val="28"/>
          <w:lang w:val="en-US" w:eastAsia="zh-CN"/>
        </w:rPr>
        <w:t>〔2023〕11</w:t>
      </w:r>
      <w:r>
        <w:rPr>
          <w:rFonts w:hint="eastAsia" w:ascii="宋体" w:hAnsi="宋体" w:eastAsia="宋体" w:cs="宋体"/>
          <w:color w:val="auto"/>
          <w:sz w:val="28"/>
          <w:szCs w:val="28"/>
        </w:rPr>
        <w:t>号）</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可作为编制</w:t>
      </w:r>
      <w:r>
        <w:rPr>
          <w:rFonts w:hint="eastAsia" w:ascii="宋体" w:hAnsi="宋体" w:eastAsia="宋体" w:cs="宋体"/>
          <w:color w:val="auto"/>
          <w:sz w:val="28"/>
          <w:szCs w:val="28"/>
          <w:lang w:eastAsia="zh-CN"/>
        </w:rPr>
        <w:t>本</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方案》的地质依据。</w:t>
      </w:r>
    </w:p>
    <w:p w14:paraId="33F35155">
      <w:pPr>
        <w:keepNext w:val="0"/>
        <w:keepLines w:val="0"/>
        <w:pageBreakBefore w:val="0"/>
        <w:widowControl w:val="0"/>
        <w:kinsoku/>
        <w:wordWrap/>
        <w:overflowPunct/>
        <w:topLinePunct w:val="0"/>
        <w:autoSpaceDE/>
        <w:autoSpaceDN/>
        <w:bidi w:val="0"/>
        <w:snapToGrid/>
        <w:spacing w:line="560" w:lineRule="exact"/>
        <w:ind w:right="0" w:firstLine="560" w:firstLineChars="200"/>
        <w:textAlignment w:val="auto"/>
        <w:rPr>
          <w:rFonts w:hint="eastAsia" w:ascii="宋体" w:hAnsi="宋体" w:eastAsia="宋体" w:cs="宋体"/>
          <w:bCs/>
          <w:color w:val="auto"/>
          <w:sz w:val="28"/>
          <w:szCs w:val="28"/>
        </w:rPr>
      </w:pPr>
      <w:r>
        <w:rPr>
          <w:rFonts w:hint="eastAsia" w:ascii="宋体" w:hAnsi="宋体" w:eastAsia="宋体" w:cs="宋体"/>
          <w:color w:val="auto"/>
          <w:sz w:val="28"/>
          <w:szCs w:val="28"/>
          <w:lang w:eastAsia="zh-CN"/>
        </w:rPr>
        <w:t>截止2022年5月31日，采矿许可</w:t>
      </w:r>
      <w:r>
        <w:rPr>
          <w:rFonts w:hint="eastAsia" w:ascii="宋体" w:hAnsi="宋体" w:eastAsia="宋体" w:cs="宋体"/>
          <w:color w:val="auto"/>
          <w:sz w:val="28"/>
          <w:szCs w:val="28"/>
          <w:lang w:val="en-US" w:eastAsia="zh-CN"/>
        </w:rPr>
        <w:t>证</w:t>
      </w:r>
      <w:r>
        <w:rPr>
          <w:rFonts w:hint="eastAsia" w:ascii="宋体" w:hAnsi="宋体" w:eastAsia="宋体" w:cs="宋体"/>
          <w:color w:val="auto"/>
          <w:sz w:val="28"/>
          <w:szCs w:val="28"/>
          <w:lang w:eastAsia="zh-CN"/>
        </w:rPr>
        <w:t>内查明建筑用砂矿资源量9.3×10</w:t>
      </w:r>
      <w:r>
        <w:rPr>
          <w:rFonts w:hint="eastAsia" w:ascii="宋体" w:hAnsi="宋体" w:eastAsia="宋体" w:cs="宋体"/>
          <w:color w:val="auto"/>
          <w:sz w:val="28"/>
          <w:szCs w:val="28"/>
          <w:vertAlign w:val="superscript"/>
          <w:lang w:eastAsia="zh-CN"/>
        </w:rPr>
        <w:t>4</w:t>
      </w:r>
      <w:r>
        <w:rPr>
          <w:rFonts w:hint="eastAsia" w:ascii="宋体" w:hAnsi="宋体" w:eastAsia="宋体" w:cs="宋体"/>
          <w:color w:val="auto"/>
          <w:sz w:val="28"/>
          <w:szCs w:val="28"/>
          <w:lang w:eastAsia="zh-CN"/>
        </w:rPr>
        <w:t>m</w:t>
      </w:r>
      <w:r>
        <w:rPr>
          <w:rFonts w:hint="eastAsia" w:ascii="宋体" w:hAnsi="宋体" w:eastAsia="宋体" w:cs="宋体"/>
          <w:color w:val="auto"/>
          <w:sz w:val="28"/>
          <w:szCs w:val="28"/>
          <w:vertAlign w:val="superscript"/>
          <w:lang w:eastAsia="zh-CN"/>
        </w:rPr>
        <w:t>3</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lang w:eastAsia="zh-CN"/>
        </w:rPr>
        <w:t>方案》</w:t>
      </w:r>
      <w:r>
        <w:rPr>
          <w:rFonts w:hint="eastAsia" w:ascii="宋体" w:hAnsi="宋体" w:eastAsia="宋体" w:cs="宋体"/>
          <w:color w:val="auto"/>
          <w:sz w:val="28"/>
          <w:szCs w:val="28"/>
          <w:lang w:val="en-US" w:eastAsia="zh-CN"/>
        </w:rPr>
        <w:t>估算可</w:t>
      </w:r>
      <w:r>
        <w:rPr>
          <w:rFonts w:hint="eastAsia" w:ascii="宋体" w:hAnsi="宋体" w:eastAsia="宋体" w:cs="宋体"/>
          <w:color w:val="auto"/>
          <w:sz w:val="28"/>
          <w:szCs w:val="28"/>
          <w:lang w:eastAsia="zh-CN"/>
        </w:rPr>
        <w:t>采</w:t>
      </w:r>
      <w:r>
        <w:rPr>
          <w:rFonts w:hint="eastAsia" w:ascii="宋体" w:hAnsi="宋体" w:eastAsia="宋体" w:cs="宋体"/>
          <w:color w:val="auto"/>
          <w:sz w:val="28"/>
          <w:szCs w:val="28"/>
          <w:lang w:val="en-US" w:eastAsia="zh-CN"/>
        </w:rPr>
        <w:t>资</w:t>
      </w:r>
      <w:r>
        <w:rPr>
          <w:rFonts w:hint="eastAsia" w:ascii="宋体" w:hAnsi="宋体" w:eastAsia="宋体" w:cs="宋体"/>
          <w:color w:val="auto"/>
          <w:sz w:val="28"/>
          <w:szCs w:val="28"/>
          <w:lang w:eastAsia="zh-CN"/>
        </w:rPr>
        <w:t>源量</w:t>
      </w:r>
      <w:r>
        <w:rPr>
          <w:rFonts w:hint="eastAsia" w:ascii="宋体" w:hAnsi="宋体" w:eastAsia="宋体" w:cs="宋体"/>
          <w:color w:val="auto"/>
          <w:sz w:val="28"/>
          <w:szCs w:val="28"/>
          <w:lang w:val="en-US" w:eastAsia="zh-CN"/>
        </w:rPr>
        <w:t>7.25</w:t>
      </w:r>
      <w:r>
        <w:rPr>
          <w:rFonts w:hint="eastAsia" w:ascii="宋体" w:hAnsi="宋体" w:eastAsia="宋体" w:cs="宋体"/>
          <w:color w:val="auto"/>
          <w:sz w:val="28"/>
          <w:szCs w:val="28"/>
          <w:lang w:eastAsia="zh-CN"/>
        </w:rPr>
        <w:t>×10</w:t>
      </w:r>
      <w:r>
        <w:rPr>
          <w:rFonts w:hint="eastAsia" w:ascii="宋体" w:hAnsi="宋体" w:eastAsia="宋体" w:cs="宋体"/>
          <w:color w:val="auto"/>
          <w:sz w:val="28"/>
          <w:szCs w:val="28"/>
          <w:vertAlign w:val="superscript"/>
          <w:lang w:eastAsia="zh-CN"/>
        </w:rPr>
        <w:t>4</w:t>
      </w:r>
      <w:r>
        <w:rPr>
          <w:rFonts w:hint="eastAsia" w:ascii="宋体" w:hAnsi="宋体" w:eastAsia="宋体" w:cs="宋体"/>
          <w:color w:val="auto"/>
          <w:sz w:val="28"/>
          <w:szCs w:val="28"/>
          <w:lang w:val="en-US" w:eastAsia="zh-CN"/>
        </w:rPr>
        <w:t>m</w:t>
      </w:r>
      <w:r>
        <w:rPr>
          <w:rFonts w:hint="eastAsia" w:ascii="宋体" w:hAnsi="宋体" w:eastAsia="宋体" w:cs="宋体"/>
          <w:color w:val="auto"/>
          <w:sz w:val="28"/>
          <w:szCs w:val="28"/>
          <w:vertAlign w:val="superscript"/>
          <w:lang w:val="en-US" w:eastAsia="zh-CN"/>
        </w:rPr>
        <w:t>3</w:t>
      </w:r>
      <w:r>
        <w:rPr>
          <w:rFonts w:hint="eastAsia" w:ascii="宋体" w:hAnsi="宋体" w:eastAsia="宋体" w:cs="宋体"/>
          <w:bCs/>
          <w:color w:val="auto"/>
          <w:sz w:val="28"/>
          <w:szCs w:val="28"/>
        </w:rPr>
        <w:t>。</w:t>
      </w:r>
    </w:p>
    <w:p w14:paraId="3CF1BE36">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采矿权矿区范围</w:t>
      </w:r>
    </w:p>
    <w:p w14:paraId="126B3053">
      <w:pPr>
        <w:keepNext w:val="0"/>
        <w:keepLines w:val="0"/>
        <w:pageBreakBefore w:val="0"/>
        <w:widowControl w:val="0"/>
        <w:kinsoku/>
        <w:wordWrap/>
        <w:overflowPunct/>
        <w:topLinePunct w:val="0"/>
        <w:autoSpaceDE/>
        <w:autoSpaceDN/>
        <w:bidi w:val="0"/>
        <w:spacing w:line="560" w:lineRule="exact"/>
        <w:ind w:right="0" w:firstLine="560" w:firstLineChars="200"/>
        <w:textAlignment w:val="auto"/>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rPr>
        <w:t>《</w:t>
      </w:r>
      <w:r>
        <w:rPr>
          <w:rFonts w:hint="eastAsia" w:ascii="宋体" w:hAnsi="宋体" w:eastAsia="宋体" w:cs="宋体"/>
          <w:bCs/>
          <w:color w:val="auto"/>
          <w:sz w:val="28"/>
          <w:szCs w:val="28"/>
          <w:lang w:val="en-US" w:eastAsia="zh-CN"/>
        </w:rPr>
        <w:t>总体</w:t>
      </w:r>
      <w:r>
        <w:rPr>
          <w:rFonts w:hint="eastAsia" w:ascii="宋体" w:hAnsi="宋体" w:eastAsia="宋体" w:cs="宋体"/>
          <w:bCs/>
          <w:color w:val="auto"/>
          <w:sz w:val="28"/>
          <w:szCs w:val="28"/>
        </w:rPr>
        <w:t>方案》推荐拟申请的采矿权矿区平面范围</w:t>
      </w:r>
      <w:r>
        <w:rPr>
          <w:rFonts w:hint="eastAsia" w:ascii="宋体" w:hAnsi="宋体" w:eastAsia="宋体" w:cs="宋体"/>
          <w:bCs/>
          <w:color w:val="auto"/>
          <w:sz w:val="28"/>
          <w:szCs w:val="28"/>
          <w:lang w:eastAsia="zh-CN"/>
        </w:rPr>
        <w:t>与</w:t>
      </w:r>
      <w:r>
        <w:rPr>
          <w:rFonts w:hint="eastAsia" w:ascii="宋体" w:hAnsi="宋体" w:eastAsia="宋体" w:cs="宋体"/>
          <w:bCs/>
          <w:color w:val="auto"/>
          <w:sz w:val="28"/>
          <w:szCs w:val="28"/>
          <w:lang w:val="en-US" w:eastAsia="zh-CN"/>
        </w:rPr>
        <w:t>现有</w:t>
      </w:r>
      <w:r>
        <w:rPr>
          <w:rFonts w:hint="eastAsia" w:ascii="宋体" w:hAnsi="宋体" w:eastAsia="宋体" w:cs="宋体"/>
          <w:bCs/>
          <w:color w:val="auto"/>
          <w:sz w:val="28"/>
          <w:szCs w:val="28"/>
        </w:rPr>
        <w:t>采矿许可证范围</w:t>
      </w:r>
      <w:r>
        <w:rPr>
          <w:rFonts w:hint="eastAsia" w:ascii="宋体" w:hAnsi="宋体" w:eastAsia="宋体" w:cs="宋体"/>
          <w:bCs/>
          <w:color w:val="auto"/>
          <w:sz w:val="28"/>
          <w:szCs w:val="28"/>
          <w:lang w:val="en-US" w:eastAsia="zh-CN"/>
        </w:rPr>
        <w:t>一致，</w:t>
      </w:r>
      <w:r>
        <w:rPr>
          <w:rFonts w:hint="eastAsia" w:ascii="宋体" w:hAnsi="宋体" w:eastAsia="宋体" w:cs="宋体"/>
          <w:bCs/>
          <w:color w:val="auto"/>
          <w:sz w:val="28"/>
          <w:szCs w:val="28"/>
        </w:rPr>
        <w:t>由</w:t>
      </w:r>
      <w:r>
        <w:rPr>
          <w:rFonts w:hint="eastAsia" w:ascii="宋体" w:hAnsi="宋体" w:eastAsia="宋体" w:cs="宋体"/>
          <w:bCs/>
          <w:color w:val="auto"/>
          <w:sz w:val="28"/>
          <w:szCs w:val="28"/>
          <w:lang w:val="en-US" w:eastAsia="zh-CN"/>
        </w:rPr>
        <w:t>6</w:t>
      </w:r>
      <w:r>
        <w:rPr>
          <w:rFonts w:hint="eastAsia" w:ascii="宋体" w:hAnsi="宋体" w:eastAsia="宋体" w:cs="宋体"/>
          <w:bCs/>
          <w:color w:val="auto"/>
          <w:sz w:val="28"/>
          <w:szCs w:val="28"/>
        </w:rPr>
        <w:t>个拐点圈定，面积为0.1313km</w:t>
      </w:r>
      <w:r>
        <w:rPr>
          <w:rFonts w:hint="eastAsia" w:ascii="宋体" w:hAnsi="宋体" w:eastAsia="宋体" w:cs="宋体"/>
          <w:bCs/>
          <w:color w:val="auto"/>
          <w:sz w:val="28"/>
          <w:szCs w:val="28"/>
          <w:vertAlign w:val="superscript"/>
        </w:rPr>
        <w:t>2</w:t>
      </w:r>
      <w:r>
        <w:rPr>
          <w:rFonts w:hint="eastAsia" w:ascii="宋体" w:hAnsi="宋体" w:eastAsia="宋体" w:cs="宋体"/>
          <w:bCs/>
          <w:color w:val="auto"/>
          <w:sz w:val="28"/>
          <w:szCs w:val="28"/>
        </w:rPr>
        <w:t>。开采标高</w:t>
      </w:r>
      <w:r>
        <w:rPr>
          <w:rFonts w:hint="eastAsia" w:ascii="宋体" w:hAnsi="宋体" w:eastAsia="宋体" w:cs="宋体"/>
          <w:bCs/>
          <w:color w:val="auto"/>
          <w:sz w:val="28"/>
          <w:szCs w:val="28"/>
          <w:lang w:val="en-US" w:eastAsia="zh-CN"/>
        </w:rPr>
        <w:t>1380</w:t>
      </w:r>
      <w:r>
        <w:rPr>
          <w:rFonts w:hint="eastAsia" w:ascii="宋体" w:hAnsi="宋体" w:eastAsia="宋体" w:cs="宋体"/>
          <w:bCs/>
          <w:color w:val="auto"/>
          <w:sz w:val="28"/>
          <w:szCs w:val="28"/>
        </w:rPr>
        <w:t>～1374m</w:t>
      </w:r>
      <w:r>
        <w:rPr>
          <w:rFonts w:hint="eastAsia" w:ascii="宋体" w:hAnsi="宋体" w:eastAsia="宋体" w:cs="宋体"/>
          <w:bCs/>
          <w:color w:val="auto"/>
          <w:sz w:val="28"/>
          <w:szCs w:val="28"/>
          <w:lang w:eastAsia="zh-CN"/>
        </w:rPr>
        <w:t>。</w:t>
      </w:r>
    </w:p>
    <w:p w14:paraId="0C61DE3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14:paraId="6772870F">
      <w:pPr>
        <w:keepNext w:val="0"/>
        <w:keepLines w:val="0"/>
        <w:pageBreakBefore w:val="0"/>
        <w:widowControl w:val="0"/>
        <w:kinsoku/>
        <w:wordWrap/>
        <w:overflowPunct/>
        <w:topLinePunct w:val="0"/>
        <w:autoSpaceDE/>
        <w:autoSpaceDN/>
        <w:bidi w:val="0"/>
        <w:spacing w:line="560" w:lineRule="exact"/>
        <w:ind w:right="0" w:firstLine="560" w:firstLineChars="200"/>
        <w:textAlignment w:val="auto"/>
        <w:rPr>
          <w:rFonts w:hint="eastAsia" w:ascii="宋体" w:hAnsi="宋体" w:eastAsia="宋体" w:cs="宋体"/>
          <w:bCs/>
          <w:color w:val="auto"/>
          <w:sz w:val="28"/>
          <w:szCs w:val="28"/>
        </w:rPr>
      </w:pPr>
      <w:r>
        <w:rPr>
          <w:rFonts w:hint="eastAsia" w:ascii="宋体" w:hAnsi="宋体" w:eastAsia="宋体" w:cs="宋体"/>
          <w:color w:val="auto"/>
          <w:sz w:val="28"/>
          <w:szCs w:val="28"/>
          <w:lang w:val="en-US" w:eastAsia="zh-CN"/>
        </w:rPr>
        <w:t>《总体方案》确定的开采矿种为建筑用砂，开采方式为</w:t>
      </w:r>
      <w:r>
        <w:rPr>
          <w:rFonts w:hint="eastAsia" w:ascii="宋体" w:hAnsi="宋体" w:eastAsia="宋体" w:cs="宋体"/>
          <w:color w:val="auto"/>
          <w:sz w:val="28"/>
          <w:szCs w:val="28"/>
        </w:rPr>
        <w:t>露天开采</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采用单斗—卡车间断式开采工艺，拟建生产规模为年采</w:t>
      </w:r>
      <w:r>
        <w:rPr>
          <w:rFonts w:hint="eastAsia" w:ascii="宋体" w:hAnsi="宋体" w:eastAsia="宋体" w:cs="宋体"/>
          <w:color w:val="auto"/>
          <w:sz w:val="28"/>
          <w:szCs w:val="28"/>
          <w:lang w:val="en-US" w:eastAsia="zh-CN"/>
        </w:rPr>
        <w:t>建筑用砂2</w:t>
      </w:r>
      <w:r>
        <w:rPr>
          <w:rFonts w:hint="eastAsia" w:ascii="宋体" w:hAnsi="宋体" w:eastAsia="宋体" w:cs="宋体"/>
          <w:color w:val="auto"/>
          <w:sz w:val="28"/>
          <w:szCs w:val="28"/>
        </w:rPr>
        <w:t>万立方米，服务年限约</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年。矿产资源开采方案基本合理。</w:t>
      </w:r>
    </w:p>
    <w:p w14:paraId="054F6054">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14:paraId="7D9E8E55">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right="0" w:firstLine="560" w:firstLineChars="200"/>
        <w:textAlignment w:val="auto"/>
        <w:rPr>
          <w:rFonts w:hint="eastAsia" w:ascii="宋体" w:hAnsi="宋体" w:eastAsia="宋体" w:cs="宋体"/>
          <w:bCs/>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方案》推荐开采回采率为</w:t>
      </w:r>
      <w:r>
        <w:rPr>
          <w:rFonts w:hint="eastAsia" w:ascii="宋体" w:hAnsi="宋体" w:eastAsia="宋体" w:cs="宋体"/>
          <w:color w:val="auto"/>
          <w:kern w:val="0"/>
          <w:sz w:val="28"/>
          <w:szCs w:val="28"/>
          <w:lang w:val="en-US" w:eastAsia="zh-CN"/>
        </w:rPr>
        <w:t>97.5</w:t>
      </w:r>
      <w:r>
        <w:rPr>
          <w:rFonts w:hint="eastAsia" w:ascii="宋体" w:hAnsi="宋体" w:eastAsia="宋体" w:cs="宋体"/>
          <w:color w:val="auto"/>
          <w:kern w:val="0"/>
          <w:sz w:val="28"/>
          <w:szCs w:val="28"/>
        </w:rPr>
        <w:t>%</w:t>
      </w:r>
      <w:r>
        <w:rPr>
          <w:rFonts w:hint="eastAsia" w:ascii="宋体" w:hAnsi="宋体" w:eastAsia="宋体" w:cs="宋体"/>
          <w:color w:val="auto"/>
          <w:sz w:val="28"/>
          <w:szCs w:val="28"/>
        </w:rPr>
        <w:t>，</w:t>
      </w:r>
      <w:r>
        <w:rPr>
          <w:rFonts w:hint="eastAsia" w:ascii="宋体" w:hAnsi="宋体" w:eastAsia="宋体" w:cs="宋体"/>
          <w:bCs/>
          <w:color w:val="auto"/>
          <w:sz w:val="28"/>
          <w:szCs w:val="28"/>
          <w:lang w:val="en-US" w:eastAsia="zh-CN"/>
        </w:rPr>
        <w:t>无共伴生资源</w:t>
      </w:r>
      <w:r>
        <w:rPr>
          <w:rFonts w:hint="eastAsia" w:ascii="宋体" w:hAnsi="宋体" w:eastAsia="宋体" w:cs="宋体"/>
          <w:color w:val="auto"/>
          <w:sz w:val="28"/>
          <w:szCs w:val="28"/>
        </w:rPr>
        <w:t>。</w:t>
      </w:r>
    </w:p>
    <w:p w14:paraId="6671FCF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14:paraId="4828EA99">
      <w:pPr>
        <w:keepNext w:val="0"/>
        <w:keepLines w:val="0"/>
        <w:pageBreakBefore w:val="0"/>
        <w:widowControl w:val="0"/>
        <w:kinsoku/>
        <w:wordWrap/>
        <w:overflowPunct/>
        <w:topLinePunct w:val="0"/>
        <w:autoSpaceDE/>
        <w:autoSpaceDN/>
        <w:bidi w:val="0"/>
        <w:spacing w:line="560" w:lineRule="exact"/>
        <w:ind w:righ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方案》推荐矿山开采回采</w:t>
      </w:r>
      <w:r>
        <w:rPr>
          <w:rFonts w:hint="eastAsia" w:ascii="宋体" w:hAnsi="宋体" w:eastAsia="宋体" w:cs="宋体"/>
          <w:color w:val="auto"/>
          <w:sz w:val="28"/>
          <w:szCs w:val="28"/>
          <w:lang w:val="en-US" w:eastAsia="zh-CN"/>
        </w:rPr>
        <w:t>率97.5</w:t>
      </w:r>
      <w:r>
        <w:rPr>
          <w:rFonts w:hint="eastAsia" w:ascii="宋体" w:hAnsi="宋体" w:eastAsia="宋体" w:cs="宋体"/>
          <w:color w:val="auto"/>
          <w:sz w:val="28"/>
          <w:szCs w:val="28"/>
          <w:lang w:val="zh-CN" w:eastAsia="zh-CN"/>
        </w:rPr>
        <w:t>%</w:t>
      </w:r>
      <w:r>
        <w:rPr>
          <w:rFonts w:hint="eastAsia" w:ascii="宋体" w:hAnsi="宋体" w:eastAsia="宋体" w:cs="宋体"/>
          <w:color w:val="auto"/>
          <w:sz w:val="28"/>
          <w:szCs w:val="28"/>
          <w:lang w:val="en-US" w:eastAsia="zh-CN"/>
        </w:rPr>
        <w:t>，参照《矿产资源“三率”指标要求  第14部分</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饰面石材和建筑用石料矿产》（DZ/T0462.14-2024）中建筑用石料“三率”指标，满足一般指</w:t>
      </w:r>
      <w:r>
        <w:rPr>
          <w:rFonts w:hint="eastAsia" w:ascii="宋体" w:hAnsi="宋体" w:eastAsia="宋体" w:cs="宋体"/>
          <w:color w:val="auto"/>
          <w:sz w:val="28"/>
          <w:szCs w:val="28"/>
        </w:rPr>
        <w:t>标要求。</w:t>
      </w:r>
    </w:p>
    <w:p w14:paraId="46F15604">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righ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总体</w:t>
      </w:r>
      <w:r>
        <w:rPr>
          <w:rFonts w:hint="eastAsia" w:ascii="宋体" w:hAnsi="宋体" w:eastAsia="宋体" w:cs="宋体"/>
          <w:color w:val="auto"/>
          <w:sz w:val="28"/>
          <w:szCs w:val="28"/>
        </w:rPr>
        <w:t>方案》中承诺矿山</w:t>
      </w:r>
      <w:r>
        <w:rPr>
          <w:rFonts w:hint="eastAsia" w:ascii="宋体" w:hAnsi="宋体" w:eastAsia="宋体" w:cs="宋体"/>
          <w:color w:val="auto"/>
          <w:sz w:val="28"/>
          <w:szCs w:val="28"/>
          <w:lang w:val="en-US" w:eastAsia="zh-CN"/>
        </w:rPr>
        <w:t>采矿</w:t>
      </w:r>
      <w:r>
        <w:rPr>
          <w:rFonts w:hint="eastAsia" w:ascii="宋体" w:hAnsi="宋体" w:eastAsia="宋体" w:cs="宋体"/>
          <w:color w:val="auto"/>
          <w:sz w:val="28"/>
          <w:szCs w:val="28"/>
        </w:rPr>
        <w:t>设备、工艺达到国内同类矿山先进生产水平。</w:t>
      </w:r>
    </w:p>
    <w:p w14:paraId="7295C1F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矿山地质环境保护与土地复垦方案</w:t>
      </w:r>
    </w:p>
    <w:p w14:paraId="5A830BF1">
      <w:pPr>
        <w:keepNext w:val="0"/>
        <w:keepLines w:val="0"/>
        <w:pageBreakBefore w:val="0"/>
        <w:widowControl w:val="0"/>
        <w:numPr>
          <w:ilvl w:val="0"/>
          <w:numId w:val="2"/>
        </w:numPr>
        <w:kinsoku/>
        <w:wordWrap/>
        <w:overflowPunct/>
        <w:topLinePunct w:val="0"/>
        <w:autoSpaceDE/>
        <w:autoSpaceDN/>
        <w:bidi w:val="0"/>
        <w:snapToGrid/>
        <w:spacing w:line="560" w:lineRule="exact"/>
        <w:ind w:left="0" w:leftChars="0" w:right="0" w:firstLine="420" w:firstLineChars="0"/>
        <w:textAlignment w:val="auto"/>
        <w:outlineLvl w:val="0"/>
        <w:rPr>
          <w:rFonts w:hint="eastAsia" w:ascii="宋体" w:hAnsi="宋体" w:eastAsia="宋体" w:cs="宋体"/>
          <w:color w:val="auto"/>
          <w:sz w:val="28"/>
          <w:szCs w:val="28"/>
        </w:rPr>
      </w:pPr>
      <w:r>
        <w:rPr>
          <w:rFonts w:hint="eastAsia" w:ascii="宋体" w:hAnsi="宋体" w:eastAsia="宋体" w:cs="宋体"/>
          <w:color w:val="auto"/>
          <w:sz w:val="28"/>
          <w:szCs w:val="28"/>
        </w:rPr>
        <w:t>《总体方案》编制单位在充分收集、分析矿区有关资料和矿山地质环境实地调查的基础上，基本阐明了矿区地质环境条件和矿区地质环境问题。</w:t>
      </w:r>
    </w:p>
    <w:p w14:paraId="1227E0CD">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val="0"/>
        <w:spacing w:line="560" w:lineRule="exact"/>
        <w:ind w:left="0" w:leftChars="0" w:right="0" w:firstLine="420" w:firstLineChars="0"/>
        <w:textAlignment w:val="auto"/>
        <w:rPr>
          <w:rFonts w:hint="eastAsia" w:ascii="宋体" w:hAnsi="宋体" w:eastAsia="宋体" w:cs="宋体"/>
          <w:b/>
          <w:bCs/>
          <w:color w:val="auto"/>
          <w:sz w:val="28"/>
          <w:szCs w:val="28"/>
        </w:rPr>
      </w:pPr>
      <w:r>
        <w:rPr>
          <w:rFonts w:hint="eastAsia" w:ascii="宋体" w:hAnsi="宋体" w:eastAsia="宋体" w:cs="宋体"/>
          <w:color w:val="auto"/>
          <w:sz w:val="28"/>
          <w:szCs w:val="28"/>
        </w:rPr>
        <w:t>《总体方案》根据矿区地质环境条件，</w:t>
      </w:r>
      <w:r>
        <w:rPr>
          <w:rFonts w:hint="eastAsia" w:ascii="宋体" w:hAnsi="宋体" w:eastAsia="宋体" w:cs="宋体"/>
          <w:color w:val="auto"/>
          <w:sz w:val="28"/>
          <w:szCs w:val="28"/>
          <w:lang w:eastAsia="zh-CN"/>
        </w:rPr>
        <w:t>对</w:t>
      </w:r>
      <w:r>
        <w:rPr>
          <w:rFonts w:hint="eastAsia" w:ascii="宋体" w:hAnsi="宋体" w:eastAsia="宋体" w:cs="宋体"/>
          <w:color w:val="auto"/>
          <w:sz w:val="28"/>
          <w:szCs w:val="28"/>
          <w:lang w:val="en-US" w:eastAsia="zh-CN"/>
        </w:rPr>
        <w:t>地质灾害危险性预测评估，</w:t>
      </w:r>
      <w:r>
        <w:rPr>
          <w:rFonts w:hint="eastAsia" w:ascii="宋体" w:hAnsi="宋体" w:eastAsia="宋体" w:cs="宋体"/>
          <w:color w:val="auto"/>
          <w:sz w:val="28"/>
          <w:szCs w:val="28"/>
        </w:rPr>
        <w:t>将矿区范围确定为评估区范围，评估区重要程度为</w:t>
      </w:r>
      <w:r>
        <w:rPr>
          <w:rFonts w:hint="eastAsia" w:ascii="宋体" w:hAnsi="宋体" w:eastAsia="宋体" w:cs="宋体"/>
          <w:b w:val="0"/>
          <w:bCs w:val="0"/>
          <w:color w:val="auto"/>
          <w:kern w:val="2"/>
          <w:sz w:val="28"/>
          <w:szCs w:val="28"/>
          <w:lang w:val="en-US" w:eastAsia="zh-CN" w:bidi="ar-SA"/>
        </w:rPr>
        <w:t>“一般区”</w:t>
      </w:r>
      <w:r>
        <w:rPr>
          <w:rFonts w:hint="eastAsia" w:ascii="宋体" w:hAnsi="宋体" w:eastAsia="宋体" w:cs="宋体"/>
          <w:color w:val="auto"/>
          <w:sz w:val="28"/>
          <w:szCs w:val="28"/>
        </w:rPr>
        <w:t>，生产建设规模为“</w:t>
      </w:r>
      <w:r>
        <w:rPr>
          <w:rFonts w:hint="eastAsia" w:ascii="宋体" w:hAnsi="宋体" w:eastAsia="宋体" w:cs="宋体"/>
          <w:b w:val="0"/>
          <w:bCs w:val="0"/>
          <w:color w:val="auto"/>
          <w:sz w:val="28"/>
          <w:szCs w:val="28"/>
          <w:lang w:val="en-US" w:eastAsia="zh-CN"/>
        </w:rPr>
        <w:t>小</w:t>
      </w:r>
      <w:r>
        <w:rPr>
          <w:rFonts w:hint="eastAsia" w:ascii="宋体" w:hAnsi="宋体" w:eastAsia="宋体" w:cs="宋体"/>
          <w:b w:val="0"/>
          <w:bCs w:val="0"/>
          <w:color w:val="auto"/>
          <w:sz w:val="28"/>
          <w:szCs w:val="28"/>
        </w:rPr>
        <w:t>型</w:t>
      </w:r>
      <w:r>
        <w:rPr>
          <w:rFonts w:hint="eastAsia" w:ascii="宋体" w:hAnsi="宋体" w:eastAsia="宋体" w:cs="宋体"/>
          <w:color w:val="auto"/>
          <w:sz w:val="28"/>
          <w:szCs w:val="28"/>
        </w:rPr>
        <w:t>”，矿山地质环境条件复杂程度为“中等”，确定本次矿山地质环境影响评估为</w:t>
      </w:r>
      <w:r>
        <w:rPr>
          <w:rFonts w:hint="eastAsia" w:ascii="宋体" w:hAnsi="宋体" w:eastAsia="宋体" w:cs="宋体"/>
          <w:b w:val="0"/>
          <w:bCs w:val="0"/>
          <w:color w:val="auto"/>
          <w:sz w:val="28"/>
          <w:szCs w:val="28"/>
          <w:lang w:val="en-US" w:eastAsia="zh-CN"/>
        </w:rPr>
        <w:t>三</w:t>
      </w:r>
      <w:r>
        <w:rPr>
          <w:rFonts w:hint="eastAsia" w:ascii="宋体" w:hAnsi="宋体" w:eastAsia="宋体" w:cs="宋体"/>
          <w:b w:val="0"/>
          <w:bCs w:val="0"/>
          <w:color w:val="auto"/>
          <w:sz w:val="28"/>
          <w:szCs w:val="28"/>
          <w:lang w:val="zh-CN"/>
        </w:rPr>
        <w:t>级</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评估级别确定合理，符合相关规范要求。</w:t>
      </w:r>
    </w:p>
    <w:p w14:paraId="4C772F45">
      <w:pPr>
        <w:keepNext w:val="0"/>
        <w:keepLines w:val="0"/>
        <w:pageBreakBefore w:val="0"/>
        <w:widowControl w:val="0"/>
        <w:numPr>
          <w:ilvl w:val="0"/>
          <w:numId w:val="2"/>
        </w:numPr>
        <w:kinsoku/>
        <w:wordWrap/>
        <w:overflowPunct/>
        <w:topLinePunct w:val="0"/>
        <w:autoSpaceDE/>
        <w:autoSpaceDN/>
        <w:bidi w:val="0"/>
        <w:spacing w:line="560" w:lineRule="exact"/>
        <w:ind w:left="0" w:leftChars="0" w:right="0" w:firstLine="420" w:firstLineChars="0"/>
        <w:textAlignment w:val="auto"/>
        <w:outlineLvl w:val="9"/>
        <w:rPr>
          <w:rFonts w:hint="eastAsia" w:ascii="宋体" w:hAnsi="宋体" w:eastAsia="宋体" w:cs="宋体"/>
          <w:b/>
          <w:bCs/>
          <w:color w:val="auto"/>
          <w:sz w:val="28"/>
          <w:szCs w:val="28"/>
        </w:rPr>
      </w:pPr>
      <w:r>
        <w:rPr>
          <w:rFonts w:hint="eastAsia" w:ascii="宋体" w:hAnsi="宋体" w:eastAsia="宋体" w:cs="宋体"/>
          <w:color w:val="auto"/>
          <w:sz w:val="28"/>
          <w:szCs w:val="28"/>
        </w:rPr>
        <w:t>根据现状调查，</w:t>
      </w:r>
      <w:r>
        <w:rPr>
          <w:rFonts w:hint="eastAsia" w:ascii="宋体" w:hAnsi="宋体" w:eastAsia="宋体" w:cs="宋体"/>
          <w:b w:val="0"/>
          <w:bCs w:val="0"/>
          <w:color w:val="auto"/>
          <w:sz w:val="28"/>
          <w:szCs w:val="28"/>
          <w:lang w:val="en-US" w:eastAsia="zh-CN"/>
        </w:rPr>
        <w:t>在矿区西北部部分区域对表土进行了剥离、场地平整，面积2.27hm</w:t>
      </w:r>
      <w:r>
        <w:rPr>
          <w:rFonts w:hint="eastAsia" w:ascii="宋体" w:hAnsi="宋体" w:eastAsia="宋体" w:cs="宋体"/>
          <w:b w:val="0"/>
          <w:bCs w:val="0"/>
          <w:color w:val="auto"/>
          <w:sz w:val="28"/>
          <w:szCs w:val="28"/>
          <w:vertAlign w:val="superscript"/>
          <w:lang w:val="en-US" w:eastAsia="zh-CN"/>
        </w:rPr>
        <w:t>2</w:t>
      </w:r>
      <w:r>
        <w:rPr>
          <w:rFonts w:hint="eastAsia" w:ascii="宋体" w:hAnsi="宋体" w:eastAsia="宋体" w:cs="宋体"/>
          <w:b w:val="0"/>
          <w:bCs w:val="0"/>
          <w:color w:val="auto"/>
          <w:sz w:val="28"/>
          <w:szCs w:val="28"/>
          <w:lang w:val="en-US" w:eastAsia="zh-CN"/>
        </w:rPr>
        <w:t>。现状</w:t>
      </w:r>
      <w:r>
        <w:rPr>
          <w:rFonts w:hint="eastAsia" w:ascii="宋体" w:hAnsi="宋体" w:eastAsia="宋体" w:cs="宋体"/>
          <w:b w:val="0"/>
          <w:bCs w:val="0"/>
          <w:color w:val="auto"/>
          <w:sz w:val="28"/>
          <w:szCs w:val="28"/>
        </w:rPr>
        <w:t>矿区道路面积</w:t>
      </w:r>
      <w:r>
        <w:rPr>
          <w:rFonts w:hint="eastAsia" w:ascii="宋体" w:hAnsi="宋体" w:eastAsia="宋体" w:cs="宋体"/>
          <w:b w:val="0"/>
          <w:bCs w:val="0"/>
          <w:color w:val="auto"/>
          <w:sz w:val="28"/>
          <w:szCs w:val="28"/>
          <w:lang w:val="en-US" w:eastAsia="zh-CN"/>
        </w:rPr>
        <w:t>为0.13h</w:t>
      </w:r>
      <w:r>
        <w:rPr>
          <w:rFonts w:hint="eastAsia" w:ascii="宋体" w:hAnsi="宋体" w:eastAsia="宋体" w:cs="宋体"/>
          <w:b w:val="0"/>
          <w:bCs w:val="0"/>
          <w:color w:val="auto"/>
          <w:sz w:val="28"/>
          <w:szCs w:val="28"/>
        </w:rPr>
        <w:t>m</w:t>
      </w:r>
      <w:r>
        <w:rPr>
          <w:rFonts w:hint="eastAsia" w:ascii="宋体" w:hAnsi="宋体" w:eastAsia="宋体" w:cs="宋体"/>
          <w:b w:val="0"/>
          <w:bCs w:val="0"/>
          <w:color w:val="auto"/>
          <w:sz w:val="28"/>
          <w:szCs w:val="28"/>
          <w:vertAlign w:val="superscript"/>
        </w:rPr>
        <w:t>2</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占用</w:t>
      </w:r>
      <w:r>
        <w:rPr>
          <w:rFonts w:hint="eastAsia" w:ascii="宋体" w:hAnsi="宋体" w:eastAsia="宋体" w:cs="宋体"/>
          <w:b w:val="0"/>
          <w:bCs w:val="0"/>
          <w:color w:val="auto"/>
          <w:sz w:val="28"/>
          <w:szCs w:val="28"/>
        </w:rPr>
        <w:t>土地类型为天然牧草地</w:t>
      </w:r>
      <w:r>
        <w:rPr>
          <w:rFonts w:hint="eastAsia" w:ascii="宋体" w:hAnsi="宋体" w:eastAsia="宋体" w:cs="宋体"/>
          <w:b w:val="0"/>
          <w:bCs w:val="0"/>
          <w:color w:val="auto"/>
          <w:sz w:val="28"/>
          <w:szCs w:val="28"/>
          <w:lang w:eastAsia="zh-CN"/>
        </w:rPr>
        <w:t>、</w:t>
      </w:r>
      <w:r>
        <w:rPr>
          <w:rFonts w:hint="eastAsia" w:ascii="宋体" w:hAnsi="宋体" w:eastAsia="宋体" w:cs="宋体"/>
          <w:b w:val="0"/>
          <w:bCs w:val="0"/>
          <w:color w:val="auto"/>
          <w:sz w:val="28"/>
          <w:szCs w:val="28"/>
          <w:lang w:val="en-US" w:eastAsia="zh-CN"/>
        </w:rPr>
        <w:t>其他草地、采矿用地</w:t>
      </w:r>
      <w:r>
        <w:rPr>
          <w:rFonts w:hint="eastAsia" w:ascii="宋体" w:hAnsi="宋体" w:eastAsia="宋体" w:cs="宋体"/>
          <w:b w:val="0"/>
          <w:bCs w:val="0"/>
          <w:color w:val="auto"/>
          <w:sz w:val="28"/>
          <w:szCs w:val="28"/>
        </w:rPr>
        <w:t>。对地形地貌景观影响程度为</w:t>
      </w:r>
      <w:r>
        <w:rPr>
          <w:rFonts w:hint="eastAsia" w:ascii="宋体" w:hAnsi="宋体" w:eastAsia="宋体" w:cs="宋体"/>
          <w:b w:val="0"/>
          <w:bCs w:val="0"/>
          <w:color w:val="auto"/>
          <w:sz w:val="28"/>
          <w:szCs w:val="28"/>
          <w:lang w:val="en-US" w:eastAsia="zh-CN"/>
        </w:rPr>
        <w:t>较轻</w:t>
      </w:r>
      <w:r>
        <w:rPr>
          <w:rFonts w:hint="eastAsia" w:ascii="宋体" w:hAnsi="宋体" w:eastAsia="宋体" w:cs="宋体"/>
          <w:b w:val="0"/>
          <w:bCs w:val="0"/>
          <w:color w:val="auto"/>
          <w:sz w:val="28"/>
          <w:szCs w:val="28"/>
        </w:rPr>
        <w:t xml:space="preserve">。 </w:t>
      </w:r>
      <w:bookmarkStart w:id="2" w:name="_Hlt260747608"/>
      <w:bookmarkEnd w:id="2"/>
      <w:bookmarkStart w:id="3" w:name="_Hlt9180341"/>
      <w:bookmarkEnd w:id="3"/>
      <w:r>
        <w:rPr>
          <w:rFonts w:hint="eastAsia" w:ascii="宋体" w:hAnsi="宋体" w:eastAsia="宋体" w:cs="宋体"/>
          <w:color w:val="auto"/>
          <w:sz w:val="28"/>
          <w:szCs w:val="28"/>
          <w:lang w:val="zh-CN"/>
        </w:rPr>
        <w:t>现状评估结论基本符合实际</w:t>
      </w:r>
      <w:r>
        <w:rPr>
          <w:rFonts w:hint="eastAsia" w:ascii="宋体" w:hAnsi="宋体" w:eastAsia="宋体" w:cs="宋体"/>
          <w:color w:val="auto"/>
          <w:sz w:val="28"/>
          <w:szCs w:val="28"/>
        </w:rPr>
        <w:t>。</w:t>
      </w:r>
    </w:p>
    <w:p w14:paraId="1761D668">
      <w:pPr>
        <w:keepNext w:val="0"/>
        <w:keepLines w:val="0"/>
        <w:pageBreakBefore w:val="0"/>
        <w:widowControl w:val="0"/>
        <w:numPr>
          <w:ilvl w:val="0"/>
          <w:numId w:val="2"/>
        </w:numPr>
        <w:kinsoku/>
        <w:wordWrap/>
        <w:overflowPunct/>
        <w:topLinePunct w:val="0"/>
        <w:autoSpaceDE/>
        <w:autoSpaceDN/>
        <w:bidi w:val="0"/>
        <w:snapToGrid/>
        <w:spacing w:line="560" w:lineRule="exact"/>
        <w:ind w:left="0" w:leftChars="0" w:right="0" w:firstLine="42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预测评估将露天采场</w:t>
      </w:r>
      <w:r>
        <w:rPr>
          <w:rFonts w:hint="eastAsia" w:ascii="宋体" w:hAnsi="宋体" w:eastAsia="宋体" w:cs="宋体"/>
          <w:color w:val="auto"/>
          <w:sz w:val="28"/>
          <w:szCs w:val="28"/>
          <w:lang w:val="zh-CN"/>
        </w:rPr>
        <w:t>划分为矿山地质环境影响程度</w:t>
      </w:r>
      <w:r>
        <w:rPr>
          <w:rFonts w:hint="eastAsia" w:ascii="宋体" w:hAnsi="宋体" w:eastAsia="宋体" w:cs="宋体"/>
          <w:b w:val="0"/>
          <w:bCs w:val="0"/>
          <w:color w:val="auto"/>
          <w:sz w:val="28"/>
          <w:szCs w:val="28"/>
        </w:rPr>
        <w:t>较</w:t>
      </w:r>
      <w:r>
        <w:rPr>
          <w:rFonts w:hint="eastAsia" w:ascii="宋体" w:hAnsi="宋体" w:eastAsia="宋体" w:cs="宋体"/>
          <w:color w:val="auto"/>
          <w:sz w:val="28"/>
          <w:szCs w:val="28"/>
        </w:rPr>
        <w:t>严重区，采矿工业</w:t>
      </w:r>
      <w:r>
        <w:rPr>
          <w:rFonts w:hint="eastAsia" w:ascii="宋体" w:hAnsi="宋体" w:eastAsia="宋体" w:cs="宋体"/>
          <w:color w:val="auto"/>
          <w:sz w:val="28"/>
          <w:szCs w:val="28"/>
          <w:lang w:val="en-US" w:eastAsia="zh-CN"/>
        </w:rPr>
        <w:t>场地</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办公生活区</w:t>
      </w:r>
      <w:r>
        <w:rPr>
          <w:rFonts w:hint="eastAsia" w:ascii="宋体" w:hAnsi="宋体" w:eastAsia="宋体" w:cs="宋体"/>
          <w:color w:val="auto"/>
          <w:sz w:val="28"/>
          <w:szCs w:val="28"/>
        </w:rPr>
        <w:t>划分为</w:t>
      </w:r>
      <w:r>
        <w:rPr>
          <w:rFonts w:hint="eastAsia" w:ascii="宋体" w:hAnsi="宋体" w:eastAsia="宋体" w:cs="宋体"/>
          <w:b w:val="0"/>
          <w:bCs w:val="0"/>
          <w:color w:val="auto"/>
          <w:sz w:val="28"/>
          <w:szCs w:val="28"/>
        </w:rPr>
        <w:t>较轻</w:t>
      </w:r>
      <w:r>
        <w:rPr>
          <w:rFonts w:hint="eastAsia" w:ascii="宋体" w:hAnsi="宋体" w:eastAsia="宋体" w:cs="宋体"/>
          <w:color w:val="auto"/>
          <w:sz w:val="28"/>
          <w:szCs w:val="28"/>
        </w:rPr>
        <w:t>区，</w:t>
      </w:r>
      <w:r>
        <w:rPr>
          <w:rFonts w:hint="eastAsia" w:ascii="宋体" w:hAnsi="宋体" w:eastAsia="宋体" w:cs="宋体"/>
          <w:color w:val="auto"/>
          <w:sz w:val="28"/>
          <w:szCs w:val="28"/>
          <w:lang w:val="en-US" w:eastAsia="zh-CN"/>
        </w:rPr>
        <w:t>矿区</w:t>
      </w:r>
      <w:r>
        <w:rPr>
          <w:rFonts w:hint="eastAsia" w:ascii="宋体" w:hAnsi="宋体" w:eastAsia="宋体" w:cs="宋体"/>
          <w:color w:val="auto"/>
          <w:sz w:val="28"/>
          <w:szCs w:val="28"/>
        </w:rPr>
        <w:t>道路及</w:t>
      </w:r>
      <w:r>
        <w:rPr>
          <w:rFonts w:hint="eastAsia" w:ascii="宋体" w:hAnsi="宋体" w:eastAsia="宋体" w:cs="宋体"/>
          <w:color w:val="auto"/>
          <w:kern w:val="0"/>
          <w:sz w:val="28"/>
          <w:szCs w:val="28"/>
          <w:lang w:bidi="ar"/>
        </w:rPr>
        <w:t>其他区域</w:t>
      </w:r>
      <w:r>
        <w:rPr>
          <w:rFonts w:hint="eastAsia" w:ascii="宋体" w:hAnsi="宋体" w:eastAsia="宋体" w:cs="宋体"/>
          <w:color w:val="auto"/>
          <w:sz w:val="28"/>
          <w:szCs w:val="28"/>
          <w:lang w:val="zh-CN"/>
        </w:rPr>
        <w:t>划分为较轻区</w:t>
      </w:r>
      <w:r>
        <w:rPr>
          <w:rFonts w:hint="eastAsia" w:ascii="宋体" w:hAnsi="宋体" w:eastAsia="宋体" w:cs="宋体"/>
          <w:color w:val="auto"/>
          <w:sz w:val="28"/>
          <w:szCs w:val="28"/>
        </w:rPr>
        <w:t>。预测矿山拟损毁土地类型为天然牧草地、</w:t>
      </w:r>
      <w:r>
        <w:rPr>
          <w:rFonts w:hint="eastAsia" w:ascii="宋体" w:hAnsi="宋体" w:eastAsia="宋体" w:cs="宋体"/>
          <w:b w:val="0"/>
          <w:bCs w:val="0"/>
          <w:color w:val="auto"/>
          <w:sz w:val="28"/>
          <w:szCs w:val="28"/>
          <w:lang w:val="en-US" w:eastAsia="zh-CN"/>
        </w:rPr>
        <w:t>其他草地、</w:t>
      </w:r>
      <w:r>
        <w:rPr>
          <w:rFonts w:hint="eastAsia" w:ascii="宋体" w:hAnsi="宋体" w:eastAsia="宋体" w:cs="宋体"/>
          <w:color w:val="auto"/>
          <w:sz w:val="28"/>
          <w:szCs w:val="28"/>
        </w:rPr>
        <w:t>采矿用地和农村道路，损毁方式为挖损和压占，预测损毁面积</w:t>
      </w:r>
      <w:r>
        <w:rPr>
          <w:rFonts w:hint="eastAsia" w:ascii="宋体" w:hAnsi="宋体" w:eastAsia="宋体" w:cs="宋体"/>
          <w:color w:val="auto"/>
          <w:sz w:val="28"/>
          <w:szCs w:val="28"/>
          <w:lang w:val="en-US" w:eastAsia="zh-CN"/>
        </w:rPr>
        <w:t>4.41</w:t>
      </w:r>
      <w:r>
        <w:rPr>
          <w:rFonts w:hint="eastAsia" w:ascii="宋体" w:hAnsi="宋体" w:eastAsia="宋体" w:cs="宋体"/>
          <w:color w:val="auto"/>
          <w:sz w:val="28"/>
          <w:szCs w:val="28"/>
        </w:rPr>
        <w:t>hm</w:t>
      </w:r>
      <w:r>
        <w:rPr>
          <w:rFonts w:hint="eastAsia" w:ascii="宋体" w:hAnsi="宋体" w:eastAsia="宋体" w:cs="宋体"/>
          <w:color w:val="auto"/>
          <w:sz w:val="28"/>
          <w:szCs w:val="28"/>
          <w:vertAlign w:val="superscript"/>
        </w:rPr>
        <w:t>2</w:t>
      </w:r>
      <w:r>
        <w:rPr>
          <w:rFonts w:hint="eastAsia" w:ascii="宋体" w:hAnsi="宋体" w:eastAsia="宋体" w:cs="宋体"/>
          <w:color w:val="auto"/>
          <w:sz w:val="28"/>
          <w:szCs w:val="28"/>
        </w:rPr>
        <w:t>。预测评估结论基本可信。</w:t>
      </w:r>
    </w:p>
    <w:p w14:paraId="24799E73">
      <w:pPr>
        <w:keepNext w:val="0"/>
        <w:keepLines w:val="0"/>
        <w:pageBreakBefore w:val="0"/>
        <w:widowControl w:val="0"/>
        <w:numPr>
          <w:ilvl w:val="0"/>
          <w:numId w:val="2"/>
        </w:numPr>
        <w:kinsoku/>
        <w:wordWrap/>
        <w:overflowPunct/>
        <w:topLinePunct w:val="0"/>
        <w:autoSpaceDE/>
        <w:autoSpaceDN/>
        <w:bidi w:val="0"/>
        <w:snapToGrid/>
        <w:spacing w:line="560" w:lineRule="exact"/>
        <w:ind w:left="0" w:leftChars="0" w:right="0" w:firstLine="42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依据损毁土地分析与预测结果，《总体方案》将</w:t>
      </w:r>
      <w:bookmarkStart w:id="4" w:name="OLE_LINK116"/>
      <w:r>
        <w:rPr>
          <w:rFonts w:hint="eastAsia" w:ascii="宋体" w:hAnsi="宋体" w:eastAsia="宋体" w:cs="宋体"/>
          <w:color w:val="auto"/>
          <w:sz w:val="28"/>
          <w:szCs w:val="28"/>
        </w:rPr>
        <w:t>露天采场、采矿工业</w:t>
      </w:r>
      <w:r>
        <w:rPr>
          <w:rFonts w:hint="eastAsia" w:ascii="宋体" w:hAnsi="宋体" w:eastAsia="宋体" w:cs="宋体"/>
          <w:color w:val="auto"/>
          <w:sz w:val="28"/>
          <w:szCs w:val="28"/>
          <w:lang w:val="en-US" w:eastAsia="zh-CN"/>
        </w:rPr>
        <w:t>场地</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办公生活区、矿区</w:t>
      </w:r>
      <w:r>
        <w:rPr>
          <w:rFonts w:hint="eastAsia" w:ascii="宋体" w:hAnsi="宋体" w:eastAsia="宋体" w:cs="宋体"/>
          <w:color w:val="auto"/>
          <w:sz w:val="28"/>
          <w:szCs w:val="28"/>
        </w:rPr>
        <w:t>道路确定为复垦责任区，总面积为</w:t>
      </w:r>
      <w:r>
        <w:rPr>
          <w:rFonts w:hint="eastAsia" w:ascii="宋体" w:hAnsi="宋体" w:eastAsia="宋体" w:cs="宋体"/>
          <w:color w:val="auto"/>
          <w:sz w:val="28"/>
          <w:szCs w:val="28"/>
          <w:lang w:val="en-US" w:eastAsia="zh-CN"/>
        </w:rPr>
        <w:t>4.41</w:t>
      </w:r>
      <w:r>
        <w:rPr>
          <w:rFonts w:hint="eastAsia" w:ascii="宋体" w:hAnsi="宋体" w:eastAsia="宋体" w:cs="宋体"/>
          <w:color w:val="auto"/>
          <w:sz w:val="28"/>
          <w:szCs w:val="28"/>
        </w:rPr>
        <w:t>hm</w:t>
      </w:r>
      <w:r>
        <w:rPr>
          <w:rFonts w:hint="eastAsia" w:ascii="宋体" w:hAnsi="宋体" w:eastAsia="宋体" w:cs="宋体"/>
          <w:color w:val="auto"/>
          <w:sz w:val="28"/>
          <w:szCs w:val="28"/>
          <w:vertAlign w:val="superscript"/>
        </w:rPr>
        <w:t>2</w:t>
      </w:r>
      <w:bookmarkEnd w:id="4"/>
      <w:r>
        <w:rPr>
          <w:rFonts w:hint="eastAsia" w:ascii="宋体" w:hAnsi="宋体" w:eastAsia="宋体" w:cs="宋体"/>
          <w:color w:val="auto"/>
          <w:sz w:val="28"/>
          <w:szCs w:val="28"/>
        </w:rPr>
        <w:t>。复垦后的土地类型为人工牧草地，复垦责任区及复垦后土地类型确定基本合理。</w:t>
      </w:r>
    </w:p>
    <w:p w14:paraId="1B64D481">
      <w:pPr>
        <w:keepNext w:val="0"/>
        <w:keepLines w:val="0"/>
        <w:pageBreakBefore w:val="0"/>
        <w:widowControl w:val="0"/>
        <w:numPr>
          <w:ilvl w:val="0"/>
          <w:numId w:val="2"/>
        </w:numPr>
        <w:kinsoku/>
        <w:wordWrap/>
        <w:overflowPunct/>
        <w:topLinePunct w:val="0"/>
        <w:autoSpaceDE/>
        <w:autoSpaceDN/>
        <w:bidi w:val="0"/>
        <w:snapToGrid/>
        <w:spacing w:line="560" w:lineRule="exact"/>
        <w:ind w:left="0" w:leftChars="0" w:right="0" w:firstLine="42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zh-CN"/>
        </w:rPr>
        <w:t>根据矿山存在的地质环境问题和治理复垦目标任务，</w:t>
      </w:r>
      <w:r>
        <w:rPr>
          <w:rFonts w:hint="eastAsia" w:ascii="宋体" w:hAnsi="宋体" w:eastAsia="宋体" w:cs="宋体"/>
          <w:color w:val="auto"/>
          <w:sz w:val="28"/>
          <w:szCs w:val="28"/>
        </w:rPr>
        <w:t>《总体方案》</w:t>
      </w:r>
      <w:r>
        <w:rPr>
          <w:rFonts w:hint="eastAsia" w:ascii="宋体" w:hAnsi="宋体" w:eastAsia="宋体" w:cs="宋体"/>
          <w:color w:val="auto"/>
          <w:sz w:val="28"/>
          <w:szCs w:val="28"/>
          <w:lang w:val="zh-CN"/>
        </w:rPr>
        <w:t>部署了主要治理复垦单元、治理复垦内容和治理复垦措施，并对治理复垦工程量及</w:t>
      </w:r>
      <w:r>
        <w:rPr>
          <w:rFonts w:hint="eastAsia" w:ascii="宋体" w:hAnsi="宋体" w:eastAsia="宋体" w:cs="宋体"/>
          <w:color w:val="auto"/>
          <w:sz w:val="28"/>
          <w:szCs w:val="28"/>
          <w:lang w:val="en-US" w:eastAsia="zh-CN"/>
        </w:rPr>
        <w:t>费用</w:t>
      </w:r>
      <w:r>
        <w:rPr>
          <w:rFonts w:hint="eastAsia" w:ascii="宋体" w:hAnsi="宋体" w:eastAsia="宋体" w:cs="宋体"/>
          <w:color w:val="auto"/>
          <w:sz w:val="28"/>
          <w:szCs w:val="28"/>
          <w:lang w:val="zh-CN"/>
        </w:rPr>
        <w:t>进行了测算。</w:t>
      </w:r>
    </w:p>
    <w:p w14:paraId="3867AC9E">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spacing w:line="560" w:lineRule="exact"/>
        <w:ind w:left="0" w:leftChars="0" w:right="0" w:firstLine="420" w:firstLineChars="0"/>
        <w:textAlignment w:val="auto"/>
        <w:rPr>
          <w:rFonts w:hint="eastAsia" w:ascii="宋体" w:hAnsi="宋体" w:eastAsia="宋体" w:cs="宋体"/>
          <w:b/>
          <w:color w:val="auto"/>
          <w:sz w:val="28"/>
          <w:szCs w:val="28"/>
        </w:rPr>
      </w:pPr>
      <w:r>
        <w:rPr>
          <w:rFonts w:hint="eastAsia" w:ascii="宋体" w:hAnsi="宋体" w:eastAsia="宋体" w:cs="宋体"/>
          <w:color w:val="auto"/>
          <w:sz w:val="28"/>
          <w:szCs w:val="28"/>
        </w:rPr>
        <w:t>《总体方案》估算矿山地质环境和土地复垦总费用为</w:t>
      </w:r>
      <w:r>
        <w:rPr>
          <w:rFonts w:hint="eastAsia" w:ascii="宋体" w:hAnsi="宋体" w:eastAsia="宋体" w:cs="宋体"/>
          <w:color w:val="auto"/>
          <w:sz w:val="28"/>
          <w:szCs w:val="28"/>
          <w:lang w:val="en-US" w:eastAsia="zh-CN"/>
        </w:rPr>
        <w:t>92.92</w:t>
      </w:r>
      <w:r>
        <w:rPr>
          <w:rFonts w:hint="eastAsia" w:ascii="宋体" w:hAnsi="宋体" w:eastAsia="宋体" w:cs="宋体"/>
          <w:color w:val="auto"/>
          <w:sz w:val="28"/>
          <w:szCs w:val="28"/>
        </w:rPr>
        <w:t>万元，其中矿山地质环境治理工程投资</w:t>
      </w:r>
      <w:r>
        <w:rPr>
          <w:rFonts w:hint="eastAsia" w:ascii="宋体" w:hAnsi="宋体" w:eastAsia="宋体" w:cs="宋体"/>
          <w:color w:val="auto"/>
          <w:sz w:val="28"/>
          <w:szCs w:val="28"/>
          <w:lang w:val="en-US" w:eastAsia="zh-CN"/>
        </w:rPr>
        <w:t>5.80</w:t>
      </w:r>
      <w:r>
        <w:rPr>
          <w:rFonts w:hint="eastAsia" w:ascii="宋体" w:hAnsi="宋体" w:eastAsia="宋体" w:cs="宋体"/>
          <w:color w:val="auto"/>
          <w:sz w:val="28"/>
          <w:szCs w:val="28"/>
        </w:rPr>
        <w:t>万元，土地复垦工程投资</w:t>
      </w:r>
      <w:r>
        <w:rPr>
          <w:rFonts w:hint="eastAsia" w:ascii="宋体" w:hAnsi="宋体" w:eastAsia="宋体" w:cs="宋体"/>
          <w:color w:val="auto"/>
          <w:sz w:val="28"/>
          <w:szCs w:val="28"/>
          <w:lang w:val="en-US" w:eastAsia="zh-CN"/>
        </w:rPr>
        <w:t>87.12</w:t>
      </w:r>
      <w:r>
        <w:rPr>
          <w:rFonts w:hint="eastAsia" w:ascii="宋体" w:hAnsi="宋体" w:eastAsia="宋体" w:cs="宋体"/>
          <w:color w:val="auto"/>
          <w:sz w:val="28"/>
          <w:szCs w:val="28"/>
        </w:rPr>
        <w:t>万元，矿山地质环境保护与土地复垦费用</w:t>
      </w:r>
      <w:r>
        <w:rPr>
          <w:rFonts w:hint="eastAsia" w:ascii="宋体" w:hAnsi="宋体" w:eastAsia="宋体" w:cs="宋体"/>
          <w:color w:val="auto"/>
          <w:sz w:val="28"/>
          <w:szCs w:val="28"/>
          <w:lang w:val="en-US" w:eastAsia="zh-CN"/>
        </w:rPr>
        <w:t>由</w:t>
      </w:r>
      <w:r>
        <w:rPr>
          <w:rFonts w:hint="eastAsia" w:ascii="宋体" w:hAnsi="宋体" w:eastAsia="宋体" w:cs="宋体"/>
          <w:snapToGrid w:val="0"/>
          <w:color w:val="auto"/>
          <w:kern w:val="0"/>
          <w:sz w:val="28"/>
          <w:szCs w:val="28"/>
          <w:lang w:val="en-US" w:eastAsia="zh-CN" w:bidi="ar-SA"/>
        </w:rPr>
        <w:t>鄂尔多斯市东胜区广鸿商贸有限公司</w:t>
      </w:r>
      <w:r>
        <w:rPr>
          <w:rFonts w:hint="eastAsia" w:ascii="宋体" w:hAnsi="宋体" w:eastAsia="宋体" w:cs="宋体"/>
          <w:color w:val="auto"/>
          <w:sz w:val="28"/>
          <w:szCs w:val="28"/>
        </w:rPr>
        <w:t>承担</w:t>
      </w:r>
      <w:r>
        <w:rPr>
          <w:rFonts w:hint="eastAsia" w:ascii="宋体" w:hAnsi="宋体" w:eastAsia="宋体" w:cs="宋体"/>
          <w:color w:val="auto"/>
          <w:sz w:val="28"/>
          <w:szCs w:val="28"/>
          <w:lang w:val="zh-CN"/>
        </w:rPr>
        <w:t>。</w:t>
      </w:r>
    </w:p>
    <w:p w14:paraId="3CEC42BF">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14:paraId="35D2C55B">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righ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zh-CN"/>
        </w:rPr>
        <w:t>矿山建设、生产中须严格执行安全、生态保护等规定。矿山安全、环境影响评价、矿山地质环境保护与土地复垦、水土保持等按照各相应主管部门审批的方案执行。</w:t>
      </w:r>
    </w:p>
    <w:p w14:paraId="2927C6F0">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lang w:val="en-US" w:eastAsia="zh-CN"/>
        </w:rPr>
      </w:pPr>
      <w:r>
        <w:rPr>
          <w:rFonts w:hint="eastAsia" w:ascii="黑体" w:hAnsi="黑体" w:eastAsia="黑体" w:cs="黑体"/>
          <w:b w:val="0"/>
          <w:bCs w:val="0"/>
          <w:color w:val="auto"/>
          <w:spacing w:val="0"/>
          <w:w w:val="100"/>
          <w:sz w:val="28"/>
          <w:szCs w:val="28"/>
          <w:highlight w:val="none"/>
          <w:lang w:val="en-US" w:eastAsia="zh-CN"/>
        </w:rPr>
        <w:t>审查结论</w:t>
      </w:r>
    </w:p>
    <w:p w14:paraId="549E394D">
      <w:pPr>
        <w:keepNext w:val="0"/>
        <w:keepLines w:val="0"/>
        <w:pageBreakBefore w:val="0"/>
        <w:widowControl w:val="0"/>
        <w:tabs>
          <w:tab w:val="left" w:pos="312"/>
        </w:tabs>
        <w:kinsoku/>
        <w:wordWrap/>
        <w:overflowPunct/>
        <w:topLinePunct w:val="0"/>
        <w:autoSpaceDE/>
        <w:autoSpaceDN/>
        <w:bidi w:val="0"/>
        <w:adjustRightInd w:val="0"/>
        <w:snapToGrid/>
        <w:spacing w:line="560" w:lineRule="exact"/>
        <w:ind w:righ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专家组经讨论认为，本《总体方案》符合相关要求，已按照专家意见修改完善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同意通过审查。</w:t>
      </w:r>
    </w:p>
    <w:p w14:paraId="080499BB">
      <w:pPr>
        <w:pStyle w:val="2"/>
        <w:keepNext w:val="0"/>
        <w:keepLines w:val="0"/>
        <w:pageBreakBefore w:val="0"/>
        <w:widowControl w:val="0"/>
        <w:kinsoku/>
        <w:wordWrap/>
        <w:overflowPunct/>
        <w:topLinePunct w:val="0"/>
        <w:autoSpaceDE/>
        <w:autoSpaceDN/>
        <w:bidi w:val="0"/>
        <w:spacing w:before="0" w:beforeLines="0" w:after="0" w:afterLines="0" w:line="560" w:lineRule="exact"/>
        <w:ind w:right="0" w:firstLine="562" w:firstLineChars="200"/>
        <w:textAlignment w:val="auto"/>
        <w:rPr>
          <w:rFonts w:hint="eastAsia" w:ascii="宋体" w:hAnsi="宋体" w:eastAsia="宋体" w:cs="宋体"/>
          <w:color w:val="auto"/>
          <w:sz w:val="28"/>
          <w:szCs w:val="28"/>
        </w:rPr>
      </w:pPr>
    </w:p>
    <w:p w14:paraId="6540D45C">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1259" w:leftChars="266" w:hanging="700" w:hangingChars="250"/>
        <w:jc w:val="both"/>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附</w:t>
      </w:r>
      <w:r>
        <w:rPr>
          <w:rFonts w:hint="eastAsia" w:ascii="宋体" w:hAnsi="宋体" w:eastAsia="宋体" w:cs="宋体"/>
          <w:color w:val="auto"/>
          <w:spacing w:val="0"/>
          <w:sz w:val="28"/>
          <w:szCs w:val="28"/>
          <w:highlight w:val="none"/>
          <w:lang w:val="en-US" w:eastAsia="zh-CN"/>
        </w:rPr>
        <w:t>件</w:t>
      </w:r>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eastAsia="zh-CN"/>
        </w:rPr>
        <w:t>鄂尔多斯市</w:t>
      </w:r>
      <w:r>
        <w:rPr>
          <w:rFonts w:hint="eastAsia" w:ascii="宋体" w:hAnsi="宋体" w:eastAsia="宋体" w:cs="宋体"/>
          <w:color w:val="auto"/>
          <w:spacing w:val="0"/>
          <w:sz w:val="28"/>
          <w:szCs w:val="28"/>
          <w:highlight w:val="none"/>
          <w:lang w:val="en-US" w:eastAsia="zh-CN"/>
        </w:rPr>
        <w:t>东胜区</w:t>
      </w:r>
      <w:r>
        <w:rPr>
          <w:rFonts w:hint="eastAsia" w:ascii="宋体" w:hAnsi="宋体" w:eastAsia="宋体" w:cs="宋体"/>
          <w:color w:val="auto"/>
          <w:spacing w:val="0"/>
          <w:sz w:val="28"/>
          <w:szCs w:val="28"/>
          <w:highlight w:val="none"/>
          <w:lang w:eastAsia="zh-CN"/>
        </w:rPr>
        <w:t>广鸿商贸有限公司</w:t>
      </w:r>
      <w:r>
        <w:rPr>
          <w:rFonts w:hint="eastAsia" w:ascii="宋体" w:hAnsi="宋体" w:eastAsia="宋体" w:cs="宋体"/>
          <w:color w:val="auto"/>
          <w:spacing w:val="0"/>
          <w:sz w:val="28"/>
          <w:szCs w:val="28"/>
          <w:highlight w:val="none"/>
          <w:lang w:val="en-US" w:eastAsia="zh-CN"/>
        </w:rPr>
        <w:t>砂石</w:t>
      </w:r>
      <w:r>
        <w:rPr>
          <w:rFonts w:hint="eastAsia" w:ascii="宋体" w:hAnsi="宋体" w:eastAsia="宋体" w:cs="宋体"/>
          <w:color w:val="auto"/>
          <w:spacing w:val="0"/>
          <w:sz w:val="28"/>
          <w:szCs w:val="28"/>
          <w:highlight w:val="none"/>
          <w:lang w:eastAsia="zh-CN"/>
        </w:rPr>
        <w:t>矿矿产资源开发利用与保护总体方案</w:t>
      </w:r>
      <w:r>
        <w:rPr>
          <w:rFonts w:hint="eastAsia" w:ascii="宋体" w:hAnsi="宋体" w:eastAsia="宋体" w:cs="宋体"/>
          <w:color w:val="auto"/>
          <w:spacing w:val="0"/>
          <w:sz w:val="28"/>
          <w:szCs w:val="28"/>
          <w:highlight w:val="none"/>
        </w:rPr>
        <w:t>》审查专组人员名单</w:t>
      </w:r>
    </w:p>
    <w:p w14:paraId="18A183E3">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both"/>
        <w:textAlignment w:val="auto"/>
        <w:rPr>
          <w:rFonts w:hint="eastAsia" w:ascii="宋体" w:hAnsi="宋体" w:eastAsia="宋体"/>
          <w:color w:val="auto"/>
          <w:spacing w:val="0"/>
          <w:sz w:val="28"/>
          <w:szCs w:val="28"/>
          <w:highlight w:val="none"/>
        </w:rPr>
      </w:pPr>
    </w:p>
    <w:p w14:paraId="60775A0E">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鄂尔多斯市地质调查监测院</w:t>
      </w:r>
    </w:p>
    <w:p w14:paraId="364BBD84">
      <w:pPr>
        <w:keepNext w:val="0"/>
        <w:keepLines w:val="0"/>
        <w:pageBreakBefore w:val="0"/>
        <w:widowControl w:val="0"/>
        <w:kinsoku/>
        <w:wordWrap/>
        <w:overflowPunct/>
        <w:topLinePunct w:val="0"/>
        <w:autoSpaceDE/>
        <w:autoSpaceDN/>
        <w:bidi w:val="0"/>
        <w:adjustRightInd/>
        <w:snapToGrid/>
        <w:spacing w:line="554" w:lineRule="exact"/>
        <w:ind w:left="0" w:leftChars="0" w:right="0" w:firstLine="560" w:firstLineChars="200"/>
        <w:jc w:val="center"/>
        <w:textAlignment w:val="auto"/>
        <w:rPr>
          <w:rFonts w:hint="eastAsia" w:ascii="仿宋" w:hAnsi="仿宋" w:eastAsia="仿宋" w:cs="仿宋"/>
          <w:color w:val="auto"/>
          <w:sz w:val="32"/>
          <w:szCs w:val="32"/>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202</w:t>
      </w:r>
      <w:r>
        <w:rPr>
          <w:rFonts w:hint="eastAsia" w:ascii="宋体" w:hAnsi="宋体" w:eastAsia="宋体" w:cs="宋体"/>
          <w:bCs/>
          <w:color w:val="auto"/>
          <w:spacing w:val="0"/>
          <w:w w:val="100"/>
          <w:sz w:val="28"/>
          <w:szCs w:val="28"/>
          <w:highlight w:val="none"/>
          <w:lang w:val="en-US" w:eastAsia="zh-CN"/>
        </w:rPr>
        <w:t>5</w:t>
      </w:r>
      <w:r>
        <w:rPr>
          <w:rFonts w:hint="eastAsia" w:ascii="宋体" w:hAnsi="宋体" w:eastAsia="宋体" w:cs="宋体"/>
          <w:bCs/>
          <w:color w:val="auto"/>
          <w:spacing w:val="0"/>
          <w:w w:val="100"/>
          <w:sz w:val="28"/>
          <w:szCs w:val="28"/>
          <w:highlight w:val="none"/>
        </w:rPr>
        <w:t>年</w:t>
      </w:r>
      <w:r>
        <w:rPr>
          <w:rFonts w:hint="eastAsia" w:ascii="宋体" w:hAnsi="宋体" w:eastAsia="宋体" w:cs="宋体"/>
          <w:bCs/>
          <w:color w:val="auto"/>
          <w:spacing w:val="0"/>
          <w:w w:val="100"/>
          <w:sz w:val="28"/>
          <w:szCs w:val="28"/>
          <w:highlight w:val="none"/>
          <w:lang w:val="en-US" w:eastAsia="zh-CN"/>
        </w:rPr>
        <w:t>6</w:t>
      </w:r>
      <w:r>
        <w:rPr>
          <w:rFonts w:hint="eastAsia" w:ascii="宋体" w:hAnsi="宋体" w:eastAsia="宋体" w:cs="宋体"/>
          <w:bCs/>
          <w:color w:val="auto"/>
          <w:spacing w:val="0"/>
          <w:w w:val="100"/>
          <w:sz w:val="28"/>
          <w:szCs w:val="28"/>
          <w:highlight w:val="none"/>
        </w:rPr>
        <w:t>月</w:t>
      </w:r>
      <w:r>
        <w:rPr>
          <w:rFonts w:hint="eastAsia" w:ascii="宋体" w:hAnsi="宋体" w:eastAsia="宋体" w:cs="宋体"/>
          <w:bCs/>
          <w:color w:val="auto"/>
          <w:spacing w:val="0"/>
          <w:w w:val="100"/>
          <w:sz w:val="28"/>
          <w:szCs w:val="28"/>
          <w:highlight w:val="none"/>
          <w:lang w:val="en-US" w:eastAsia="zh-CN"/>
        </w:rPr>
        <w:t>19</w:t>
      </w:r>
      <w:r>
        <w:rPr>
          <w:rFonts w:hint="eastAsia" w:ascii="宋体" w:hAnsi="宋体" w:eastAsia="宋体" w:cs="宋体"/>
          <w:bCs/>
          <w:color w:val="auto"/>
          <w:spacing w:val="0"/>
          <w:w w:val="100"/>
          <w:sz w:val="28"/>
          <w:szCs w:val="28"/>
          <w:highlight w:val="none"/>
        </w:rPr>
        <w:t>日</w:t>
      </w:r>
      <w:bookmarkStart w:id="5" w:name="_GoBack"/>
      <w:bookmarkEnd w:id="5"/>
    </w:p>
    <w:sectPr>
      <w:footerReference r:id="rId3" w:type="default"/>
      <w:pgSz w:w="11906" w:h="16838"/>
      <w:pgMar w:top="2098" w:right="1474" w:bottom="1984" w:left="1587" w:header="851"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F677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F224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C5F224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1FADFB00"/>
    <w:multiLevelType w:val="singleLevel"/>
    <w:tmpl w:val="1FADFB00"/>
    <w:lvl w:ilvl="0" w:tentative="0">
      <w:start w:val="1"/>
      <w:numFmt w:val="chineseCounting"/>
      <w:suff w:val="nothing"/>
      <w:lvlText w:val="（%1）"/>
      <w:lvlJc w:val="left"/>
      <w:pPr>
        <w:ind w:left="0" w:firstLine="420"/>
      </w:pPr>
      <w:rPr>
        <w:rFonts w:hint="eastAsia"/>
        <w:b w:val="0"/>
        <w:bCs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hyphenationZone w:val="36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486042"/>
    <w:rsid w:val="00045A85"/>
    <w:rsid w:val="00056EF6"/>
    <w:rsid w:val="000C49B2"/>
    <w:rsid w:val="000E548F"/>
    <w:rsid w:val="00130AB6"/>
    <w:rsid w:val="001B6FAA"/>
    <w:rsid w:val="002F4269"/>
    <w:rsid w:val="00354491"/>
    <w:rsid w:val="00356C52"/>
    <w:rsid w:val="00387366"/>
    <w:rsid w:val="003A3B6F"/>
    <w:rsid w:val="003D6901"/>
    <w:rsid w:val="003D757F"/>
    <w:rsid w:val="0048787E"/>
    <w:rsid w:val="004E3604"/>
    <w:rsid w:val="00590AF4"/>
    <w:rsid w:val="005F7659"/>
    <w:rsid w:val="0060690C"/>
    <w:rsid w:val="00637FA5"/>
    <w:rsid w:val="006D35B9"/>
    <w:rsid w:val="0073563C"/>
    <w:rsid w:val="00737F87"/>
    <w:rsid w:val="00740106"/>
    <w:rsid w:val="007912BD"/>
    <w:rsid w:val="007F098D"/>
    <w:rsid w:val="00873784"/>
    <w:rsid w:val="00882255"/>
    <w:rsid w:val="00891A2C"/>
    <w:rsid w:val="008D006B"/>
    <w:rsid w:val="008E2977"/>
    <w:rsid w:val="009D2CF1"/>
    <w:rsid w:val="009F5268"/>
    <w:rsid w:val="00A02010"/>
    <w:rsid w:val="00AA0488"/>
    <w:rsid w:val="00AA3653"/>
    <w:rsid w:val="00B10A94"/>
    <w:rsid w:val="00B155EB"/>
    <w:rsid w:val="00B44533"/>
    <w:rsid w:val="00BC54B6"/>
    <w:rsid w:val="00C32604"/>
    <w:rsid w:val="00D22604"/>
    <w:rsid w:val="00D4468F"/>
    <w:rsid w:val="00D65BF6"/>
    <w:rsid w:val="00D70B8A"/>
    <w:rsid w:val="00D8138A"/>
    <w:rsid w:val="00DF5C03"/>
    <w:rsid w:val="00E14293"/>
    <w:rsid w:val="00E6246D"/>
    <w:rsid w:val="00E93A11"/>
    <w:rsid w:val="00EE3E02"/>
    <w:rsid w:val="00F67778"/>
    <w:rsid w:val="00FC5C7C"/>
    <w:rsid w:val="00FD664D"/>
    <w:rsid w:val="017B5008"/>
    <w:rsid w:val="020E3F2C"/>
    <w:rsid w:val="03BA5BC7"/>
    <w:rsid w:val="04557C17"/>
    <w:rsid w:val="05073F4F"/>
    <w:rsid w:val="05974544"/>
    <w:rsid w:val="073B1389"/>
    <w:rsid w:val="07761501"/>
    <w:rsid w:val="0A2A173C"/>
    <w:rsid w:val="0A4C7EC4"/>
    <w:rsid w:val="0AFB6FF6"/>
    <w:rsid w:val="12486042"/>
    <w:rsid w:val="12A35F3D"/>
    <w:rsid w:val="14A75149"/>
    <w:rsid w:val="174167A5"/>
    <w:rsid w:val="17B752F6"/>
    <w:rsid w:val="182E403B"/>
    <w:rsid w:val="1BD62010"/>
    <w:rsid w:val="1CA06A08"/>
    <w:rsid w:val="24117BB9"/>
    <w:rsid w:val="2AEE594E"/>
    <w:rsid w:val="2C090002"/>
    <w:rsid w:val="2D2B45A9"/>
    <w:rsid w:val="352A3C1F"/>
    <w:rsid w:val="3BDC0B93"/>
    <w:rsid w:val="3BE727F1"/>
    <w:rsid w:val="3C104987"/>
    <w:rsid w:val="3EFB3711"/>
    <w:rsid w:val="40BE3A69"/>
    <w:rsid w:val="40DD797A"/>
    <w:rsid w:val="42A22E19"/>
    <w:rsid w:val="45224E18"/>
    <w:rsid w:val="4739398F"/>
    <w:rsid w:val="48D65497"/>
    <w:rsid w:val="499A1F0B"/>
    <w:rsid w:val="4D3D2DBF"/>
    <w:rsid w:val="4EAA4484"/>
    <w:rsid w:val="4ED07F8E"/>
    <w:rsid w:val="4FFB3809"/>
    <w:rsid w:val="50E64646"/>
    <w:rsid w:val="51BF0246"/>
    <w:rsid w:val="51D062FB"/>
    <w:rsid w:val="5213678A"/>
    <w:rsid w:val="53005E62"/>
    <w:rsid w:val="54C87412"/>
    <w:rsid w:val="55242791"/>
    <w:rsid w:val="5791383A"/>
    <w:rsid w:val="58A02D90"/>
    <w:rsid w:val="58F8520C"/>
    <w:rsid w:val="59FF3F7B"/>
    <w:rsid w:val="5C1743DA"/>
    <w:rsid w:val="606C1654"/>
    <w:rsid w:val="60F055F7"/>
    <w:rsid w:val="62787485"/>
    <w:rsid w:val="638031CB"/>
    <w:rsid w:val="659D79A4"/>
    <w:rsid w:val="66452A5A"/>
    <w:rsid w:val="6CBA6456"/>
    <w:rsid w:val="6D2C16A8"/>
    <w:rsid w:val="71B05423"/>
    <w:rsid w:val="729639F8"/>
    <w:rsid w:val="7686635C"/>
    <w:rsid w:val="77041622"/>
    <w:rsid w:val="7A867391"/>
    <w:rsid w:val="7BAA74A5"/>
    <w:rsid w:val="7CF94D29"/>
    <w:rsid w:val="7E19320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Normal Indent"/>
    <w:basedOn w:val="1"/>
    <w:qFormat/>
    <w:uiPriority w:val="0"/>
    <w:pPr>
      <w:ind w:firstLine="420" w:firstLineChars="200"/>
    </w:pPr>
  </w:style>
  <w:style w:type="paragraph" w:styleId="4">
    <w:name w:val="Document Map"/>
    <w:basedOn w:val="1"/>
    <w:link w:val="16"/>
    <w:qFormat/>
    <w:uiPriority w:val="0"/>
    <w:rPr>
      <w:rFonts w:ascii="宋体" w:eastAsia="宋体"/>
      <w:sz w:val="18"/>
      <w:szCs w:val="18"/>
    </w:rPr>
  </w:style>
  <w:style w:type="paragraph" w:styleId="5">
    <w:name w:val="annotation text"/>
    <w:basedOn w:val="1"/>
    <w:semiHidden/>
    <w:unhideWhenUsed/>
    <w:qFormat/>
    <w:uiPriority w:val="99"/>
    <w:pPr>
      <w:jc w:val="left"/>
    </w:pPr>
  </w:style>
  <w:style w:type="paragraph" w:styleId="6">
    <w:name w:val="Body Text Indent"/>
    <w:basedOn w:val="1"/>
    <w:next w:val="1"/>
    <w:qFormat/>
    <w:uiPriority w:val="99"/>
    <w:pPr>
      <w:spacing w:line="360" w:lineRule="auto"/>
      <w:ind w:firstLine="555"/>
    </w:pPr>
    <w:rPr>
      <w:rFonts w:ascii="仿宋_GB2312" w:hAnsi="宋体" w:eastAsia="仿宋_GB2312"/>
      <w:kern w:val="0"/>
      <w:sz w:val="28"/>
    </w:rPr>
  </w:style>
  <w:style w:type="paragraph" w:styleId="7">
    <w:name w:val="endnote text"/>
    <w:basedOn w:val="1"/>
    <w:qFormat/>
    <w:uiPriority w:val="0"/>
    <w:pPr>
      <w:snapToGrid w:val="0"/>
      <w:jc w:val="left"/>
    </w:pPr>
    <w:rPr>
      <w:sz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jc w:val="center"/>
    </w:pPr>
    <w:rPr>
      <w:rFonts w:eastAsia="黑体"/>
      <w:sz w:val="72"/>
    </w:rPr>
  </w:style>
  <w:style w:type="paragraph" w:styleId="11">
    <w:name w:val="Body Text First Indent 2"/>
    <w:basedOn w:val="1"/>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semiHidden/>
    <w:unhideWhenUsed/>
    <w:qFormat/>
    <w:uiPriority w:val="99"/>
    <w:rPr>
      <w:sz w:val="21"/>
      <w:szCs w:val="21"/>
    </w:rPr>
  </w:style>
  <w:style w:type="character" w:customStyle="1" w:styleId="16">
    <w:name w:val="文档结构图 Char"/>
    <w:link w:val="4"/>
    <w:qFormat/>
    <w:uiPriority w:val="0"/>
    <w:rPr>
      <w:rFonts w:ascii="宋体" w:eastAsia="宋体"/>
      <w:kern w:val="2"/>
      <w:sz w:val="18"/>
      <w:szCs w:val="18"/>
    </w:rPr>
  </w:style>
  <w:style w:type="character" w:customStyle="1" w:styleId="17">
    <w:name w:val="页眉 Char"/>
    <w:link w:val="9"/>
    <w:qFormat/>
    <w:uiPriority w:val="0"/>
    <w:rPr>
      <w:kern w:val="2"/>
      <w:sz w:val="18"/>
      <w:szCs w:val="18"/>
    </w:rPr>
  </w:style>
  <w:style w:type="paragraph" w:customStyle="1" w:styleId="18">
    <w:name w:val="样式8"/>
    <w:basedOn w:val="19"/>
    <w:qFormat/>
    <w:uiPriority w:val="99"/>
    <w:pPr>
      <w:spacing w:before="24"/>
      <w:ind w:firstLine="538"/>
    </w:pPr>
    <w:rPr>
      <w:color w:val="FF0000"/>
    </w:rPr>
  </w:style>
  <w:style w:type="paragraph" w:customStyle="1" w:styleId="19">
    <w:name w:val="排版"/>
    <w:basedOn w:val="20"/>
    <w:qFormat/>
    <w:uiPriority w:val="0"/>
    <w:pPr>
      <w:widowControl/>
      <w:snapToGrid w:val="0"/>
      <w:spacing w:beforeLines="10"/>
      <w:ind w:firstLine="192"/>
    </w:pPr>
    <w:rPr>
      <w:color w:val="000000"/>
      <w:sz w:val="28"/>
      <w:szCs w:val="20"/>
    </w:rPr>
  </w:style>
  <w:style w:type="paragraph" w:customStyle="1" w:styleId="20">
    <w:name w:val="正文排版"/>
    <w:basedOn w:val="1"/>
    <w:qFormat/>
    <w:uiPriority w:val="0"/>
    <w:pPr>
      <w:spacing w:line="360" w:lineRule="auto"/>
      <w:ind w:firstLine="538" w:firstLineChars="192"/>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158\Desktop\&#23453;&#28304;&#24320;&#21457;&#21033;&#29992;&#26041;&#26696;&#20462;&#25913;&#31295;6.11\&#24320;&#21457;&#26041;&#26696;&#24847;&#35265;&#20070;&#65288;&#23453;&#28304;&#33828;&#30707;&#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开发方案意见书（宝源萤石）.dot</Template>
  <Pages>6</Pages>
  <Words>2083</Words>
  <Characters>2238</Characters>
  <Lines>21</Lines>
  <Paragraphs>5</Paragraphs>
  <TotalTime>0</TotalTime>
  <ScaleCrop>false</ScaleCrop>
  <LinksUpToDate>false</LinksUpToDate>
  <CharactersWithSpaces>2348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2025-06-14T10:54:00Z</dcterms:created>
  <dc:creator>WPS_1587735199</dc:creator>
  <cp:lastModifiedBy>Roger1393936739</cp:lastModifiedBy>
  <dcterms:modified xsi:type="dcterms:W3CDTF">2025-07-03T01:18:03Z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B1C5CCB3582F4CEE99DBCE83CB48836D_13</vt:lpwstr>
  </property>
  <property fmtid="{D5CDD505-2E9C-101B-9397-08002B2CF9AE}" pid="4" name="KSOTemplateDocerSaveRecord">
    <vt:lpwstr>eyJoZGlkIjoiNTY0ZWJmN2NiN2VlZDA4OGVjZTAxODkxY2I3MjFkODQiLCJ1c2VySWQiOiIxMjA4NTQ2MyJ9</vt:lpwstr>
  </property>
</Properties>
</file>