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2B6F8">
      <w:pPr>
        <w:pStyle w:val="11"/>
        <w:ind w:left="0" w:leftChars="0" w:firstLine="0" w:firstLineChars="0"/>
        <w:jc w:val="left"/>
        <w:rPr>
          <w:rFonts w:hint="eastAsia"/>
          <w:color w:val="auto"/>
          <w:spacing w:val="0"/>
          <w:w w:val="100"/>
          <w:highlight w:val="none"/>
        </w:rPr>
      </w:pPr>
      <w:r>
        <w:rPr>
          <w:rFonts w:hint="eastAsia" w:ascii="黑体" w:hAnsi="黑体" w:eastAsia="黑体" w:cs="黑体"/>
          <w:color w:val="auto"/>
          <w:spacing w:val="0"/>
          <w:w w:val="100"/>
          <w:kern w:val="2"/>
          <w:sz w:val="32"/>
          <w:szCs w:val="32"/>
          <w:highlight w:val="none"/>
          <w:lang w:val="en-US" w:eastAsia="zh-CN" w:bidi="ar-SA"/>
        </w:rPr>
        <w:t>附件1</w:t>
      </w:r>
    </w:p>
    <w:p w14:paraId="34A6CDFD">
      <w:pPr>
        <w:pStyle w:val="11"/>
        <w:ind w:left="0" w:leftChars="0" w:firstLine="0" w:firstLineChars="0"/>
        <w:jc w:val="both"/>
        <w:rPr>
          <w:rFonts w:hint="eastAsia"/>
          <w:color w:val="auto"/>
          <w:spacing w:val="0"/>
          <w:w w:val="100"/>
          <w:highlight w:val="none"/>
        </w:rPr>
      </w:pPr>
    </w:p>
    <w:p w14:paraId="7FA13DFF">
      <w:pPr>
        <w:pStyle w:val="11"/>
        <w:ind w:left="0" w:leftChars="0" w:firstLine="0" w:firstLineChars="0"/>
        <w:jc w:val="center"/>
        <w:rPr>
          <w:rFonts w:hint="eastAsia"/>
          <w:color w:val="auto"/>
          <w:spacing w:val="0"/>
          <w:w w:val="100"/>
          <w:highlight w:val="none"/>
        </w:rPr>
      </w:pPr>
    </w:p>
    <w:p w14:paraId="13E368C1">
      <w:pPr>
        <w:pStyle w:val="11"/>
        <w:ind w:left="0" w:leftChars="0" w:firstLine="0" w:firstLineChars="0"/>
        <w:jc w:val="center"/>
        <w:rPr>
          <w:rFonts w:hint="eastAsia"/>
          <w:color w:val="auto"/>
          <w:spacing w:val="0"/>
          <w:w w:val="100"/>
          <w:highlight w:val="none"/>
        </w:rPr>
      </w:pPr>
    </w:p>
    <w:p w14:paraId="7A0D59EA">
      <w:pPr>
        <w:pStyle w:val="11"/>
        <w:ind w:left="0" w:leftChars="0" w:firstLine="0" w:firstLineChars="0"/>
        <w:jc w:val="center"/>
        <w:rPr>
          <w:rFonts w:hint="eastAsia"/>
          <w:color w:val="auto"/>
          <w:spacing w:val="0"/>
          <w:w w:val="100"/>
          <w:highlight w:val="none"/>
        </w:rPr>
      </w:pPr>
    </w:p>
    <w:p w14:paraId="4D0CD587">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6A2F767B">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516112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w:t>
      </w:r>
      <w:r>
        <w:rPr>
          <w:rFonts w:hint="eastAsia" w:ascii="黑体" w:hAnsi="黑体" w:eastAsia="黑体" w:cs="黑体"/>
          <w:color w:val="auto"/>
          <w:spacing w:val="0"/>
          <w:w w:val="100"/>
          <w:sz w:val="44"/>
          <w:szCs w:val="44"/>
          <w:highlight w:val="none"/>
          <w:lang w:val="en-US" w:eastAsia="zh-CN"/>
        </w:rPr>
        <w:t>准格尔旗华阳石英砂厂</w:t>
      </w:r>
      <w:r>
        <w:rPr>
          <w:rFonts w:hint="eastAsia" w:ascii="黑体" w:hAnsi="黑体" w:eastAsia="黑体" w:cs="黑体"/>
          <w:color w:val="auto"/>
          <w:spacing w:val="0"/>
          <w:w w:val="100"/>
          <w:sz w:val="44"/>
          <w:szCs w:val="44"/>
          <w:highlight w:val="none"/>
        </w:rPr>
        <w:t>开采方案》</w:t>
      </w:r>
    </w:p>
    <w:p w14:paraId="0C3EC56C">
      <w:pPr>
        <w:jc w:val="center"/>
      </w:pPr>
    </w:p>
    <w:p w14:paraId="4D8FDEF1">
      <w:pPr>
        <w:pStyle w:val="2"/>
      </w:pPr>
    </w:p>
    <w:p w14:paraId="12738CD8">
      <w:pPr>
        <w:jc w:val="center"/>
      </w:pPr>
    </w:p>
    <w:p w14:paraId="4CE67A5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lang w:eastAsia="zh-CN"/>
        </w:rPr>
      </w:pPr>
      <w:r>
        <w:rPr>
          <w:rFonts w:hint="eastAsia" w:ascii="黑体" w:hAnsi="黑体" w:eastAsia="黑体" w:cs="黑体"/>
          <w:bCs/>
          <w:color w:val="auto"/>
          <w:spacing w:val="0"/>
          <w:w w:val="100"/>
          <w:sz w:val="52"/>
          <w:szCs w:val="52"/>
          <w:highlight w:val="none"/>
          <w:lang w:eastAsia="zh-CN"/>
        </w:rPr>
        <w:t>评</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lang w:eastAsia="zh-CN"/>
        </w:rPr>
        <w:t xml:space="preserve">审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lang w:eastAsia="zh-CN"/>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lang w:eastAsia="zh-CN"/>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lang w:eastAsia="zh-CN"/>
        </w:rPr>
        <w:t>书</w:t>
      </w:r>
    </w:p>
    <w:p w14:paraId="5FA70100">
      <w:pPr>
        <w:jc w:val="center"/>
        <w:rPr>
          <w:rFonts w:hint="eastAsia"/>
        </w:rPr>
      </w:pPr>
    </w:p>
    <w:p w14:paraId="1CED515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9</w:t>
      </w:r>
      <w:r>
        <w:rPr>
          <w:rFonts w:hint="eastAsia" w:ascii="仿宋" w:hAnsi="仿宋" w:eastAsia="仿宋" w:cs="仿宋"/>
          <w:color w:val="auto"/>
          <w:spacing w:val="0"/>
          <w:w w:val="100"/>
          <w:sz w:val="32"/>
          <w:szCs w:val="32"/>
          <w:highlight w:val="none"/>
        </w:rPr>
        <w:t>号</w:t>
      </w:r>
    </w:p>
    <w:p w14:paraId="5B466B0F">
      <w:pPr>
        <w:jc w:val="center"/>
        <w:rPr>
          <w:rFonts w:hint="eastAsia"/>
        </w:rPr>
      </w:pPr>
    </w:p>
    <w:p w14:paraId="524D20FA">
      <w:pPr>
        <w:jc w:val="center"/>
        <w:rPr>
          <w:rFonts w:hint="eastAsia"/>
        </w:rPr>
      </w:pPr>
    </w:p>
    <w:p w14:paraId="3A63132C">
      <w:pPr>
        <w:jc w:val="center"/>
        <w:rPr>
          <w:rFonts w:hint="eastAsia"/>
        </w:rPr>
      </w:pPr>
    </w:p>
    <w:p w14:paraId="03A5B074">
      <w:pPr>
        <w:jc w:val="center"/>
        <w:rPr>
          <w:rFonts w:hint="eastAsia"/>
        </w:rPr>
      </w:pPr>
    </w:p>
    <w:p w14:paraId="079F3634">
      <w:pPr>
        <w:jc w:val="center"/>
        <w:rPr>
          <w:rFonts w:hint="eastAsia"/>
        </w:rPr>
      </w:pPr>
    </w:p>
    <w:p w14:paraId="5C0F52D5">
      <w:pPr>
        <w:jc w:val="center"/>
        <w:rPr>
          <w:rFonts w:hint="eastAsia"/>
        </w:rPr>
      </w:pPr>
    </w:p>
    <w:p w14:paraId="3E3D5723">
      <w:pPr>
        <w:jc w:val="center"/>
        <w:rPr>
          <w:rFonts w:hint="eastAsia"/>
        </w:rPr>
      </w:pPr>
    </w:p>
    <w:p w14:paraId="3F97B10F">
      <w:pPr>
        <w:jc w:val="center"/>
        <w:rPr>
          <w:rFonts w:hint="eastAsia"/>
        </w:rPr>
      </w:pPr>
    </w:p>
    <w:p w14:paraId="264D3C54">
      <w:pPr>
        <w:jc w:val="center"/>
        <w:rPr>
          <w:rFonts w:hint="eastAsia"/>
        </w:rPr>
      </w:pPr>
    </w:p>
    <w:p w14:paraId="38737E70">
      <w:pPr>
        <w:jc w:val="center"/>
        <w:rPr>
          <w:rFonts w:hint="eastAsia"/>
        </w:rPr>
      </w:pPr>
    </w:p>
    <w:p w14:paraId="518012AC">
      <w:pPr>
        <w:jc w:val="center"/>
        <w:rPr>
          <w:rFonts w:hint="eastAsia"/>
        </w:rPr>
      </w:pPr>
    </w:p>
    <w:p w14:paraId="05E984F3">
      <w:pPr>
        <w:pStyle w:val="2"/>
        <w:rPr>
          <w:rFonts w:hint="eastAsia"/>
        </w:rPr>
      </w:pPr>
    </w:p>
    <w:p w14:paraId="6D9BF4B6">
      <w:pPr>
        <w:rPr>
          <w:rFonts w:hint="eastAsia"/>
        </w:rPr>
      </w:pPr>
    </w:p>
    <w:p w14:paraId="43BA5197">
      <w:pPr>
        <w:pStyle w:val="2"/>
        <w:rPr>
          <w:rFonts w:hint="eastAsia"/>
        </w:rPr>
      </w:pPr>
    </w:p>
    <w:p w14:paraId="39FD7F59">
      <w:pPr>
        <w:rPr>
          <w:rFonts w:hint="eastAsia"/>
        </w:rPr>
      </w:pPr>
    </w:p>
    <w:p w14:paraId="50C1E378">
      <w:pPr>
        <w:pStyle w:val="2"/>
        <w:rPr>
          <w:rFonts w:hint="eastAsia"/>
        </w:rPr>
      </w:pPr>
    </w:p>
    <w:p w14:paraId="65F307AB">
      <w:pPr>
        <w:rPr>
          <w:rFonts w:hint="eastAsia"/>
        </w:rPr>
      </w:pPr>
    </w:p>
    <w:p w14:paraId="0375A1D5">
      <w:pPr>
        <w:pStyle w:val="2"/>
        <w:rPr>
          <w:rFonts w:hint="eastAsia"/>
        </w:rPr>
      </w:pPr>
    </w:p>
    <w:p w14:paraId="1B674732">
      <w:pPr>
        <w:jc w:val="center"/>
        <w:rPr>
          <w:rFonts w:hint="eastAsia"/>
        </w:rPr>
      </w:pPr>
    </w:p>
    <w:p w14:paraId="14518DA5">
      <w:pPr>
        <w:jc w:val="center"/>
        <w:rPr>
          <w:rFonts w:hint="eastAsia"/>
        </w:rPr>
      </w:pPr>
    </w:p>
    <w:p w14:paraId="355C16EB">
      <w:pPr>
        <w:jc w:val="center"/>
        <w:rPr>
          <w:rFonts w:hint="eastAsia"/>
        </w:rPr>
      </w:pPr>
    </w:p>
    <w:p w14:paraId="6C950C2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14:paraId="3DADE591">
      <w:pPr>
        <w:jc w:val="center"/>
        <w:rPr>
          <w:rFonts w:hint="eastAsia"/>
        </w:rPr>
      </w:pPr>
    </w:p>
    <w:p w14:paraId="7F7B214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10</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23</w:t>
      </w:r>
      <w:r>
        <w:rPr>
          <w:rFonts w:hint="eastAsia" w:ascii="宋体" w:hAnsi="宋体" w:eastAsia="宋体" w:cs="宋体"/>
          <w:color w:val="auto"/>
          <w:spacing w:val="0"/>
          <w:w w:val="100"/>
          <w:sz w:val="32"/>
          <w:szCs w:val="32"/>
          <w:highlight w:val="none"/>
        </w:rPr>
        <w:t>日</w:t>
      </w:r>
    </w:p>
    <w:p w14:paraId="6FA2FE61">
      <w:pPr>
        <w:jc w:val="center"/>
        <w:rPr>
          <w:rFonts w:hint="eastAsia"/>
        </w:rPr>
        <w:sectPr>
          <w:pgSz w:w="11906" w:h="16838"/>
          <w:pgMar w:top="2098" w:right="1474" w:bottom="1984" w:left="1587" w:header="851" w:footer="992" w:gutter="0"/>
          <w:pgNumType w:fmt="decimal" w:start="0"/>
          <w:cols w:space="720" w:num="1"/>
          <w:rtlGutter w:val="0"/>
          <w:docGrid w:linePitch="326" w:charSpace="0"/>
        </w:sectPr>
      </w:pPr>
    </w:p>
    <w:p w14:paraId="18A7187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53"/>
          <w:w w:val="100"/>
          <w:kern w:val="0"/>
          <w:sz w:val="32"/>
          <w:szCs w:val="32"/>
          <w:highlight w:val="none"/>
          <w:fitText w:val="1600" w:id="105652476"/>
          <w:lang w:val="en-US" w:eastAsia="zh-CN"/>
        </w:rPr>
        <w:t>申请单</w:t>
      </w:r>
      <w:r>
        <w:rPr>
          <w:rFonts w:hint="eastAsia" w:ascii="宋体" w:hAnsi="宋体" w:eastAsia="宋体" w:cs="宋体"/>
          <w:bCs/>
          <w:color w:val="auto"/>
          <w:spacing w:val="1"/>
          <w:w w:val="100"/>
          <w:kern w:val="0"/>
          <w:sz w:val="32"/>
          <w:szCs w:val="32"/>
          <w:highlight w:val="none"/>
          <w:fitText w:val="1600" w:id="105652476"/>
          <w:lang w:val="en-US" w:eastAsia="zh-CN"/>
        </w:rPr>
        <w:t>位</w:t>
      </w:r>
      <w:r>
        <w:rPr>
          <w:rFonts w:hint="eastAsia" w:ascii="宋体" w:hAnsi="宋体" w:eastAsia="宋体" w:cs="宋体"/>
          <w:bCs/>
          <w:color w:val="auto"/>
          <w:spacing w:val="0"/>
          <w:w w:val="100"/>
          <w:sz w:val="32"/>
          <w:szCs w:val="32"/>
          <w:highlight w:val="none"/>
          <w:lang w:val="en-US" w:eastAsia="zh-CN"/>
        </w:rPr>
        <w:t>：准格尔旗华阳石英砂厂</w:t>
      </w:r>
    </w:p>
    <w:p w14:paraId="766F7B0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53"/>
          <w:w w:val="100"/>
          <w:kern w:val="0"/>
          <w:sz w:val="32"/>
          <w:szCs w:val="32"/>
          <w:highlight w:val="none"/>
          <w:fitText w:val="1600" w:id="105652476"/>
          <w:lang w:val="en-US" w:eastAsia="zh-CN"/>
        </w:rPr>
        <w:t>编制单</w:t>
      </w:r>
      <w:r>
        <w:rPr>
          <w:rFonts w:hint="eastAsia" w:ascii="宋体" w:hAnsi="宋体" w:eastAsia="宋体" w:cs="宋体"/>
          <w:bCs/>
          <w:color w:val="auto"/>
          <w:spacing w:val="1"/>
          <w:w w:val="100"/>
          <w:kern w:val="0"/>
          <w:sz w:val="32"/>
          <w:szCs w:val="32"/>
          <w:highlight w:val="none"/>
          <w:fitText w:val="1600" w:id="105652476"/>
          <w:lang w:val="en-US" w:eastAsia="zh-CN"/>
        </w:rPr>
        <w:t>位</w:t>
      </w:r>
      <w:r>
        <w:rPr>
          <w:rFonts w:hint="eastAsia" w:ascii="宋体" w:hAnsi="宋体" w:eastAsia="宋体" w:cs="宋体"/>
          <w:bCs/>
          <w:color w:val="auto"/>
          <w:spacing w:val="0"/>
          <w:w w:val="100"/>
          <w:sz w:val="32"/>
          <w:szCs w:val="32"/>
          <w:highlight w:val="none"/>
          <w:lang w:val="en-US" w:eastAsia="zh-CN"/>
        </w:rPr>
        <w:t>：内蒙古江莱科技服务有限公司</w:t>
      </w:r>
    </w:p>
    <w:p w14:paraId="36C18F8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主要编写人：贺云龙 米纪伟 张 龙 刘冬梅</w:t>
      </w:r>
    </w:p>
    <w:p w14:paraId="44CB10A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53"/>
          <w:w w:val="100"/>
          <w:kern w:val="0"/>
          <w:sz w:val="32"/>
          <w:szCs w:val="32"/>
          <w:highlight w:val="none"/>
          <w:fitText w:val="1600" w:id="105652476"/>
          <w:lang w:val="en-US" w:eastAsia="zh-CN"/>
        </w:rPr>
        <w:t>编制日</w:t>
      </w:r>
      <w:r>
        <w:rPr>
          <w:rFonts w:hint="eastAsia" w:ascii="宋体" w:hAnsi="宋体" w:eastAsia="宋体" w:cs="宋体"/>
          <w:bCs/>
          <w:color w:val="auto"/>
          <w:spacing w:val="1"/>
          <w:w w:val="100"/>
          <w:kern w:val="0"/>
          <w:sz w:val="32"/>
          <w:szCs w:val="32"/>
          <w:highlight w:val="none"/>
          <w:fitText w:val="1600" w:id="105652476"/>
          <w:lang w:val="en-US" w:eastAsia="zh-CN"/>
        </w:rPr>
        <w:t>期</w:t>
      </w:r>
      <w:r>
        <w:rPr>
          <w:rFonts w:hint="eastAsia" w:ascii="宋体" w:hAnsi="宋体" w:eastAsia="宋体" w:cs="宋体"/>
          <w:bCs/>
          <w:color w:val="auto"/>
          <w:spacing w:val="0"/>
          <w:w w:val="100"/>
          <w:sz w:val="32"/>
          <w:szCs w:val="32"/>
          <w:highlight w:val="none"/>
          <w:lang w:val="en-US" w:eastAsia="zh-CN"/>
        </w:rPr>
        <w:t>：2025年8月</w:t>
      </w:r>
    </w:p>
    <w:p w14:paraId="08ED449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53"/>
          <w:w w:val="100"/>
          <w:kern w:val="0"/>
          <w:sz w:val="32"/>
          <w:szCs w:val="32"/>
          <w:highlight w:val="none"/>
          <w:fitText w:val="1600" w:id="105652476"/>
          <w:lang w:val="en-US" w:eastAsia="zh-CN"/>
        </w:rPr>
        <w:t>受理日</w:t>
      </w:r>
      <w:r>
        <w:rPr>
          <w:rFonts w:hint="eastAsia" w:ascii="宋体" w:hAnsi="宋体" w:eastAsia="宋体" w:cs="宋体"/>
          <w:bCs/>
          <w:color w:val="auto"/>
          <w:spacing w:val="1"/>
          <w:w w:val="100"/>
          <w:kern w:val="0"/>
          <w:sz w:val="32"/>
          <w:szCs w:val="32"/>
          <w:highlight w:val="none"/>
          <w:fitText w:val="1600" w:id="105652476"/>
          <w:lang w:val="en-US" w:eastAsia="zh-CN"/>
        </w:rPr>
        <w:t>期</w:t>
      </w:r>
      <w:r>
        <w:rPr>
          <w:rFonts w:hint="eastAsia" w:ascii="宋体" w:hAnsi="宋体" w:eastAsia="宋体" w:cs="宋体"/>
          <w:bCs/>
          <w:color w:val="auto"/>
          <w:spacing w:val="0"/>
          <w:w w:val="100"/>
          <w:sz w:val="32"/>
          <w:szCs w:val="32"/>
          <w:highlight w:val="none"/>
          <w:lang w:val="en-US" w:eastAsia="zh-CN"/>
        </w:rPr>
        <w:t>：2025年10月13日</w:t>
      </w:r>
    </w:p>
    <w:p w14:paraId="431C893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160"/>
          <w:w w:val="100"/>
          <w:kern w:val="0"/>
          <w:sz w:val="32"/>
          <w:szCs w:val="32"/>
          <w:highlight w:val="none"/>
          <w:fitText w:val="1600" w:id="105652476"/>
          <w:lang w:val="en-US" w:eastAsia="zh-CN"/>
        </w:rPr>
        <w:t>汇报</w:t>
      </w:r>
      <w:r>
        <w:rPr>
          <w:rFonts w:hint="eastAsia" w:ascii="宋体" w:hAnsi="宋体" w:eastAsia="宋体" w:cs="宋体"/>
          <w:bCs/>
          <w:color w:val="auto"/>
          <w:spacing w:val="0"/>
          <w:w w:val="100"/>
          <w:kern w:val="0"/>
          <w:sz w:val="32"/>
          <w:szCs w:val="32"/>
          <w:highlight w:val="none"/>
          <w:fitText w:val="1600" w:id="105652476"/>
          <w:lang w:val="en-US" w:eastAsia="zh-CN"/>
        </w:rPr>
        <w:t>人</w:t>
      </w:r>
      <w:r>
        <w:rPr>
          <w:rFonts w:hint="eastAsia" w:ascii="宋体" w:hAnsi="宋体" w:eastAsia="宋体" w:cs="宋体"/>
          <w:bCs/>
          <w:color w:val="auto"/>
          <w:spacing w:val="0"/>
          <w:w w:val="100"/>
          <w:sz w:val="32"/>
          <w:szCs w:val="32"/>
          <w:highlight w:val="none"/>
          <w:lang w:val="en-US" w:eastAsia="zh-CN"/>
        </w:rPr>
        <w:t>：贺云龙</w:t>
      </w:r>
    </w:p>
    <w:p w14:paraId="34B26293">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评审专家组</w:t>
      </w:r>
    </w:p>
    <w:p w14:paraId="160D6CA4">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组  长：孙坚刚（采矿）</w:t>
      </w:r>
    </w:p>
    <w:p w14:paraId="3B8B2F3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 xml:space="preserve">成  员：左满权（采矿） </w:t>
      </w:r>
      <w:bookmarkStart w:id="0" w:name="OLE_LINK8"/>
      <w:r>
        <w:rPr>
          <w:rFonts w:hint="eastAsia" w:ascii="宋体" w:hAnsi="宋体" w:eastAsia="宋体" w:cs="宋体"/>
          <w:bCs/>
          <w:color w:val="auto"/>
          <w:spacing w:val="0"/>
          <w:w w:val="100"/>
          <w:sz w:val="32"/>
          <w:szCs w:val="32"/>
          <w:highlight w:val="none"/>
          <w:lang w:val="en-US" w:eastAsia="zh-CN"/>
        </w:rPr>
        <w:t xml:space="preserve">   贾玉峰（地质矿产）</w:t>
      </w:r>
      <w:bookmarkEnd w:id="0"/>
    </w:p>
    <w:p w14:paraId="0FB06739">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王  丽（水工环）  贾凤梅（选矿）</w:t>
      </w:r>
    </w:p>
    <w:p w14:paraId="2A00E2B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53"/>
          <w:w w:val="100"/>
          <w:kern w:val="0"/>
          <w:sz w:val="32"/>
          <w:szCs w:val="32"/>
          <w:highlight w:val="none"/>
          <w:fitText w:val="1600" w:id="105652476"/>
          <w:lang w:val="en-US" w:eastAsia="zh-CN"/>
        </w:rPr>
        <w:t>评审方</w:t>
      </w:r>
      <w:r>
        <w:rPr>
          <w:rFonts w:hint="eastAsia" w:ascii="宋体" w:hAnsi="宋体" w:eastAsia="宋体" w:cs="宋体"/>
          <w:bCs/>
          <w:color w:val="auto"/>
          <w:spacing w:val="1"/>
          <w:w w:val="100"/>
          <w:kern w:val="0"/>
          <w:sz w:val="32"/>
          <w:szCs w:val="32"/>
          <w:highlight w:val="none"/>
          <w:fitText w:val="1600" w:id="105652476"/>
          <w:lang w:val="en-US" w:eastAsia="zh-CN"/>
        </w:rPr>
        <w:t>式</w:t>
      </w:r>
      <w:r>
        <w:rPr>
          <w:rFonts w:hint="eastAsia" w:ascii="宋体" w:hAnsi="宋体" w:eastAsia="宋体" w:cs="宋体"/>
          <w:bCs/>
          <w:color w:val="auto"/>
          <w:spacing w:val="0"/>
          <w:w w:val="100"/>
          <w:sz w:val="32"/>
          <w:szCs w:val="32"/>
          <w:highlight w:val="none"/>
          <w:lang w:val="en-US" w:eastAsia="zh-CN"/>
        </w:rPr>
        <w:t>：会议评审</w:t>
      </w:r>
    </w:p>
    <w:p w14:paraId="7969EB3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53"/>
          <w:w w:val="100"/>
          <w:kern w:val="0"/>
          <w:sz w:val="32"/>
          <w:szCs w:val="32"/>
          <w:highlight w:val="none"/>
          <w:fitText w:val="1600" w:id="105652476"/>
          <w:lang w:val="en-US" w:eastAsia="zh-CN"/>
        </w:rPr>
        <w:t>评审日</w:t>
      </w:r>
      <w:r>
        <w:rPr>
          <w:rFonts w:hint="eastAsia" w:ascii="宋体" w:hAnsi="宋体" w:eastAsia="宋体" w:cs="宋体"/>
          <w:bCs/>
          <w:color w:val="auto"/>
          <w:spacing w:val="1"/>
          <w:w w:val="100"/>
          <w:kern w:val="0"/>
          <w:sz w:val="32"/>
          <w:szCs w:val="32"/>
          <w:highlight w:val="none"/>
          <w:fitText w:val="1600" w:id="105652476"/>
          <w:lang w:val="en-US" w:eastAsia="zh-CN"/>
        </w:rPr>
        <w:t>期</w:t>
      </w:r>
      <w:r>
        <w:rPr>
          <w:rFonts w:hint="eastAsia" w:ascii="宋体" w:hAnsi="宋体" w:eastAsia="宋体" w:cs="宋体"/>
          <w:bCs/>
          <w:color w:val="auto"/>
          <w:spacing w:val="0"/>
          <w:w w:val="100"/>
          <w:sz w:val="32"/>
          <w:szCs w:val="32"/>
          <w:highlight w:val="none"/>
          <w:lang w:val="en-US" w:eastAsia="zh-CN"/>
        </w:rPr>
        <w:t>：2025年10月15日</w:t>
      </w:r>
    </w:p>
    <w:p w14:paraId="405A0DC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复核会日期：2025年10月23日</w:t>
      </w:r>
    </w:p>
    <w:p w14:paraId="7F20B42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asciiTheme="minorEastAsia" w:hAnsiTheme="minorEastAsia"/>
          <w:sz w:val="28"/>
          <w:szCs w:val="28"/>
        </w:rPr>
      </w:pPr>
      <w:r>
        <w:rPr>
          <w:rFonts w:hint="eastAsia" w:ascii="宋体" w:hAnsi="宋体" w:eastAsia="宋体" w:cs="宋体"/>
          <w:bCs/>
          <w:color w:val="auto"/>
          <w:spacing w:val="53"/>
          <w:w w:val="100"/>
          <w:kern w:val="0"/>
          <w:sz w:val="32"/>
          <w:szCs w:val="32"/>
          <w:highlight w:val="none"/>
          <w:fitText w:val="1600" w:id="105652476"/>
          <w:lang w:val="en-US" w:eastAsia="zh-CN"/>
        </w:rPr>
        <w:t>评审地</w:t>
      </w:r>
      <w:r>
        <w:rPr>
          <w:rFonts w:hint="eastAsia" w:ascii="宋体" w:hAnsi="宋体" w:eastAsia="宋体" w:cs="宋体"/>
          <w:bCs/>
          <w:color w:val="auto"/>
          <w:spacing w:val="1"/>
          <w:w w:val="100"/>
          <w:kern w:val="0"/>
          <w:sz w:val="32"/>
          <w:szCs w:val="32"/>
          <w:highlight w:val="none"/>
          <w:fitText w:val="1600" w:id="105652476"/>
          <w:lang w:val="en-US" w:eastAsia="zh-CN"/>
        </w:rPr>
        <w:t>点</w:t>
      </w:r>
      <w:r>
        <w:rPr>
          <w:rFonts w:hint="eastAsia" w:ascii="宋体" w:hAnsi="宋体" w:eastAsia="宋体" w:cs="宋体"/>
          <w:bCs/>
          <w:color w:val="auto"/>
          <w:spacing w:val="0"/>
          <w:w w:val="100"/>
          <w:sz w:val="32"/>
          <w:szCs w:val="32"/>
          <w:highlight w:val="none"/>
          <w:lang w:val="en-US" w:eastAsia="zh-CN"/>
        </w:rPr>
        <w:t>：呼和浩特市</w:t>
      </w:r>
    </w:p>
    <w:p w14:paraId="36E20B70">
      <w:pPr>
        <w:spacing w:line="560" w:lineRule="exact"/>
        <w:ind w:firstLine="560" w:firstLineChars="200"/>
        <w:rPr>
          <w:rFonts w:asciiTheme="minorEastAsia" w:hAnsiTheme="minorEastAsia"/>
          <w:sz w:val="28"/>
          <w:szCs w:val="28"/>
        </w:rPr>
      </w:pPr>
    </w:p>
    <w:p w14:paraId="39970310">
      <w:pPr>
        <w:spacing w:line="560" w:lineRule="exact"/>
        <w:ind w:firstLine="560" w:firstLineChars="200"/>
        <w:rPr>
          <w:rFonts w:asciiTheme="minorEastAsia" w:hAnsiTheme="minorEastAsia"/>
          <w:sz w:val="28"/>
          <w:szCs w:val="28"/>
        </w:rPr>
      </w:pPr>
    </w:p>
    <w:p w14:paraId="2B49FE3D">
      <w:pPr>
        <w:spacing w:line="360" w:lineRule="auto"/>
        <w:ind w:left="-210" w:leftChars="-100" w:firstLine="640" w:firstLineChars="200"/>
        <w:rPr>
          <w:rFonts w:hint="eastAsia" w:asciiTheme="minorEastAsia" w:hAnsiTheme="minorEastAsia"/>
          <w:sz w:val="32"/>
          <w:szCs w:val="32"/>
        </w:rPr>
      </w:pPr>
    </w:p>
    <w:p w14:paraId="30C5BABA">
      <w:pPr>
        <w:spacing w:line="360" w:lineRule="auto"/>
        <w:ind w:left="-210" w:leftChars="-100" w:firstLine="560" w:firstLineChars="200"/>
        <w:rPr>
          <w:rFonts w:hint="eastAsia" w:asciiTheme="minorEastAsia" w:hAnsiTheme="minorEastAsia"/>
          <w:sz w:val="28"/>
          <w:szCs w:val="28"/>
        </w:rPr>
        <w:sectPr>
          <w:footerReference r:id="rId3" w:type="first"/>
          <w:pgSz w:w="11906" w:h="16838"/>
          <w:pgMar w:top="2098" w:right="1474" w:bottom="1984" w:left="1588" w:header="720" w:footer="720" w:gutter="0"/>
          <w:cols w:space="0" w:num="1"/>
          <w:rtlGutter w:val="0"/>
          <w:docGrid w:linePitch="312" w:charSpace="0"/>
        </w:sectPr>
      </w:pPr>
    </w:p>
    <w:p w14:paraId="7BA22932">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rPr>
      </w:pPr>
      <w:r>
        <w:rPr>
          <w:rFonts w:hint="eastAsia" w:ascii="宋体" w:hAnsi="宋体" w:eastAsia="宋体" w:cs="宋体"/>
          <w:spacing w:val="0"/>
          <w:sz w:val="28"/>
          <w:szCs w:val="28"/>
          <w:lang w:val="en-US" w:eastAsia="zh-CN"/>
        </w:rPr>
        <w:t>鄂尔多斯市地质调查监测院</w:t>
      </w:r>
      <w:r>
        <w:rPr>
          <w:rFonts w:hint="eastAsia" w:ascii="宋体" w:hAnsi="宋体" w:eastAsia="宋体" w:cs="宋体"/>
          <w:spacing w:val="0"/>
          <w:sz w:val="28"/>
          <w:szCs w:val="28"/>
        </w:rPr>
        <w:t>依据自然资源部办公厅关于印发矿产资源（非油气）开发利用方案编制指南的通知》（自然资办发〔2024〕33号）</w:t>
      </w:r>
      <w:r>
        <w:rPr>
          <w:rFonts w:hint="eastAsia" w:ascii="宋体" w:hAnsi="宋体" w:eastAsia="宋体" w:cs="宋体"/>
          <w:spacing w:val="0"/>
          <w:sz w:val="28"/>
          <w:szCs w:val="28"/>
          <w:lang w:eastAsia="zh-CN"/>
        </w:rPr>
        <w:t>和</w:t>
      </w:r>
      <w:r>
        <w:rPr>
          <w:rFonts w:hint="eastAsia" w:ascii="宋体" w:hAnsi="宋体" w:eastAsia="宋体" w:cs="宋体"/>
          <w:spacing w:val="0"/>
          <w:sz w:val="28"/>
          <w:szCs w:val="28"/>
        </w:rPr>
        <w:t>《内蒙古自治区自然资源厅关于做好&lt;矿产资源法&gt;实施衔接过渡期矿产资源勘查方案、开采方案评审工作的公告》(公告〔2025〕27号)等文件，于2025年</w:t>
      </w:r>
      <w:r>
        <w:rPr>
          <w:rFonts w:hint="eastAsia" w:ascii="宋体" w:hAnsi="宋体" w:eastAsia="宋体" w:cs="宋体"/>
          <w:spacing w:val="0"/>
          <w:sz w:val="28"/>
          <w:szCs w:val="28"/>
          <w:lang w:val="en-US" w:eastAsia="zh-CN"/>
        </w:rPr>
        <w:t>10</w:t>
      </w:r>
      <w:r>
        <w:rPr>
          <w:rFonts w:hint="eastAsia" w:ascii="宋体" w:hAnsi="宋体" w:eastAsia="宋体" w:cs="宋体"/>
          <w:spacing w:val="0"/>
          <w:sz w:val="28"/>
          <w:szCs w:val="28"/>
        </w:rPr>
        <w:t>月</w:t>
      </w:r>
      <w:r>
        <w:rPr>
          <w:rFonts w:hint="eastAsia" w:ascii="宋体" w:hAnsi="宋体" w:eastAsia="宋体" w:cs="宋体"/>
          <w:spacing w:val="0"/>
          <w:sz w:val="28"/>
          <w:szCs w:val="28"/>
          <w:lang w:val="en-US" w:eastAsia="zh-CN"/>
        </w:rPr>
        <w:t>13</w:t>
      </w:r>
      <w:r>
        <w:rPr>
          <w:rFonts w:hint="eastAsia" w:ascii="宋体" w:hAnsi="宋体" w:eastAsia="宋体" w:cs="宋体"/>
          <w:spacing w:val="0"/>
          <w:sz w:val="28"/>
          <w:szCs w:val="28"/>
        </w:rPr>
        <w:t>日受理了</w:t>
      </w:r>
      <w:r>
        <w:rPr>
          <w:rFonts w:hint="eastAsia" w:ascii="宋体" w:hAnsi="宋体" w:eastAsia="宋体" w:cs="宋体"/>
          <w:spacing w:val="0"/>
          <w:sz w:val="28"/>
          <w:szCs w:val="28"/>
          <w:lang w:val="en-US" w:eastAsia="zh-CN"/>
        </w:rPr>
        <w:t>准格尔旗华阳石英砂厂</w:t>
      </w:r>
      <w:r>
        <w:rPr>
          <w:rFonts w:hint="eastAsia" w:ascii="宋体" w:hAnsi="宋体" w:eastAsia="宋体" w:cs="宋体"/>
          <w:spacing w:val="0"/>
          <w:sz w:val="28"/>
          <w:szCs w:val="28"/>
        </w:rPr>
        <w:t>提交、</w:t>
      </w:r>
      <w:r>
        <w:rPr>
          <w:rFonts w:hint="eastAsia" w:ascii="宋体" w:hAnsi="宋体" w:eastAsia="宋体" w:cs="宋体"/>
          <w:spacing w:val="0"/>
          <w:sz w:val="28"/>
          <w:szCs w:val="28"/>
          <w:lang w:val="en-US" w:eastAsia="zh-CN"/>
        </w:rPr>
        <w:t>内蒙古江莱科技服务有限公司</w:t>
      </w:r>
      <w:r>
        <w:rPr>
          <w:rFonts w:hint="eastAsia" w:ascii="宋体" w:hAnsi="宋体" w:eastAsia="宋体" w:cs="宋体"/>
          <w:spacing w:val="0"/>
          <w:sz w:val="28"/>
          <w:szCs w:val="28"/>
        </w:rPr>
        <w:t>编制的《</w:t>
      </w:r>
      <w:r>
        <w:rPr>
          <w:rFonts w:hint="eastAsia" w:ascii="宋体" w:hAnsi="宋体" w:eastAsia="宋体" w:cs="宋体"/>
          <w:spacing w:val="0"/>
          <w:sz w:val="28"/>
          <w:szCs w:val="28"/>
          <w:lang w:eastAsia="zh-CN"/>
        </w:rPr>
        <w:t>准格尔旗华阳石英砂厂开采方案</w:t>
      </w:r>
      <w:r>
        <w:rPr>
          <w:rFonts w:hint="eastAsia" w:ascii="宋体" w:hAnsi="宋体" w:eastAsia="宋体" w:cs="宋体"/>
          <w:spacing w:val="0"/>
          <w:sz w:val="28"/>
          <w:szCs w:val="28"/>
        </w:rPr>
        <w:t>》（以下简称《</w:t>
      </w:r>
      <w:r>
        <w:rPr>
          <w:rFonts w:hint="eastAsia" w:ascii="宋体" w:hAnsi="宋体" w:eastAsia="宋体" w:cs="宋体"/>
          <w:spacing w:val="0"/>
          <w:sz w:val="28"/>
          <w:szCs w:val="28"/>
          <w:lang w:val="en-US" w:eastAsia="zh-CN"/>
        </w:rPr>
        <w:t>开采</w:t>
      </w:r>
      <w:r>
        <w:rPr>
          <w:rFonts w:hint="eastAsia" w:ascii="宋体" w:hAnsi="宋体" w:eastAsia="宋体" w:cs="宋体"/>
          <w:spacing w:val="0"/>
          <w:sz w:val="28"/>
          <w:szCs w:val="28"/>
        </w:rPr>
        <w:t>方案》）</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lang w:val="en-US" w:eastAsia="zh-CN"/>
        </w:rPr>
        <w:t>2025年10月15日在呼和浩特市组织专家，对《开采方案》进行了评审。</w:t>
      </w:r>
      <w:r>
        <w:rPr>
          <w:rFonts w:hint="eastAsia" w:ascii="宋体" w:hAnsi="宋体" w:eastAsia="宋体" w:cs="宋体"/>
          <w:spacing w:val="0"/>
          <w:sz w:val="28"/>
          <w:szCs w:val="28"/>
        </w:rPr>
        <w:t>专家组在</w:t>
      </w:r>
      <w:r>
        <w:rPr>
          <w:rFonts w:hint="eastAsia" w:ascii="宋体" w:hAnsi="宋体" w:eastAsia="宋体" w:cs="宋体"/>
          <w:spacing w:val="0"/>
          <w:sz w:val="28"/>
          <w:szCs w:val="28"/>
          <w:lang w:val="en-US" w:eastAsia="zh-CN"/>
        </w:rPr>
        <w:t>查</w:t>
      </w:r>
      <w:r>
        <w:rPr>
          <w:rFonts w:hint="eastAsia" w:ascii="宋体" w:hAnsi="宋体" w:eastAsia="宋体" w:cs="宋体"/>
          <w:spacing w:val="0"/>
          <w:sz w:val="28"/>
          <w:szCs w:val="28"/>
        </w:rPr>
        <w:t>阅报告、听取介绍、质询和讨论的基础上，形成仅供矿业权管理使用的评审意见如下：</w:t>
      </w:r>
    </w:p>
    <w:p w14:paraId="456CCCC6">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《开采方案》编制目的</w:t>
      </w:r>
    </w:p>
    <w:p w14:paraId="2A55E154">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560" w:firstLineChars="200"/>
        <w:textAlignment w:val="auto"/>
        <w:rPr>
          <w:rFonts w:hint="eastAsia" w:ascii="宋体" w:hAnsi="宋体" w:eastAsia="宋体" w:cs="宋体"/>
          <w:bCs/>
          <w:color w:val="auto"/>
          <w:spacing w:val="0"/>
          <w:sz w:val="28"/>
          <w:szCs w:val="28"/>
        </w:rPr>
      </w:pPr>
      <w:r>
        <w:rPr>
          <w:rFonts w:hint="eastAsia" w:ascii="宋体" w:hAnsi="宋体" w:eastAsia="宋体" w:cs="宋体"/>
          <w:bCs/>
          <w:color w:val="auto"/>
          <w:spacing w:val="0"/>
          <w:sz w:val="28"/>
          <w:szCs w:val="28"/>
        </w:rPr>
        <w:t>《开采方案》编制目的属于扩大开采区域</w:t>
      </w:r>
      <w:r>
        <w:rPr>
          <w:rFonts w:hint="eastAsia" w:ascii="宋体" w:hAnsi="宋体" w:eastAsia="宋体" w:cs="宋体"/>
          <w:bCs/>
          <w:color w:val="auto"/>
          <w:spacing w:val="0"/>
          <w:sz w:val="28"/>
          <w:szCs w:val="28"/>
          <w:lang w:eastAsia="zh-CN"/>
        </w:rPr>
        <w:t>、</w:t>
      </w:r>
      <w:r>
        <w:rPr>
          <w:rFonts w:hint="eastAsia" w:ascii="宋体" w:hAnsi="宋体" w:eastAsia="宋体" w:cs="宋体"/>
          <w:bCs/>
          <w:color w:val="auto"/>
          <w:spacing w:val="0"/>
          <w:sz w:val="28"/>
          <w:szCs w:val="28"/>
          <w:lang w:val="en-US" w:eastAsia="zh-CN"/>
        </w:rPr>
        <w:t>变更主要开采矿种</w:t>
      </w:r>
      <w:r>
        <w:rPr>
          <w:rFonts w:hint="eastAsia" w:ascii="宋体" w:hAnsi="宋体" w:eastAsia="宋体" w:cs="宋体"/>
          <w:bCs/>
          <w:color w:val="auto"/>
          <w:spacing w:val="0"/>
          <w:sz w:val="28"/>
          <w:szCs w:val="28"/>
          <w:lang w:eastAsia="zh-CN"/>
        </w:rPr>
        <w:t>。</w:t>
      </w:r>
    </w:p>
    <w:p w14:paraId="265B1DA4">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lang w:val="en-US" w:eastAsia="zh-CN"/>
        </w:rPr>
      </w:pPr>
      <w:r>
        <w:rPr>
          <w:rFonts w:hint="eastAsia" w:ascii="黑体" w:hAnsi="黑体" w:eastAsia="黑体" w:cs="黑体"/>
          <w:b w:val="0"/>
          <w:bCs w:val="0"/>
          <w:color w:val="auto"/>
          <w:spacing w:val="0"/>
          <w:w w:val="100"/>
          <w:sz w:val="28"/>
          <w:szCs w:val="28"/>
          <w:highlight w:val="none"/>
        </w:rPr>
        <w:t>矿区地质与矿产资源</w:t>
      </w:r>
      <w:r>
        <w:rPr>
          <w:rFonts w:hint="eastAsia" w:ascii="黑体" w:hAnsi="黑体" w:eastAsia="黑体" w:cs="黑体"/>
          <w:b w:val="0"/>
          <w:bCs w:val="0"/>
          <w:color w:val="auto"/>
          <w:spacing w:val="0"/>
          <w:w w:val="100"/>
          <w:sz w:val="28"/>
          <w:szCs w:val="28"/>
          <w:highlight w:val="none"/>
          <w:lang w:val="en-US" w:eastAsia="zh-CN"/>
        </w:rPr>
        <w:t>情况</w:t>
      </w:r>
    </w:p>
    <w:p w14:paraId="70B1B57B">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《开采方案》编制</w:t>
      </w:r>
      <w:bookmarkStart w:id="1" w:name="OLE_LINK1"/>
      <w:r>
        <w:rPr>
          <w:rFonts w:hint="eastAsia" w:ascii="宋体" w:hAnsi="宋体" w:eastAsia="宋体" w:cs="宋体"/>
          <w:spacing w:val="0"/>
          <w:sz w:val="28"/>
          <w:szCs w:val="28"/>
          <w:lang w:val="en-US" w:eastAsia="zh-CN"/>
        </w:rPr>
        <w:t>依据的</w:t>
      </w:r>
      <w:bookmarkEnd w:id="1"/>
      <w:r>
        <w:rPr>
          <w:rFonts w:hint="eastAsia" w:ascii="宋体" w:hAnsi="宋体" w:eastAsia="宋体" w:cs="宋体"/>
          <w:spacing w:val="0"/>
          <w:sz w:val="28"/>
          <w:szCs w:val="28"/>
          <w:lang w:val="en-US" w:eastAsia="zh-CN"/>
        </w:rPr>
        <w:t>《内蒙古自治区准格尔旗华阳矿区冶金熔剂用石英砂岩矿资源储量核实报告》矿产资源储量评审意见书（</w:t>
      </w:r>
      <w:r>
        <w:rPr>
          <w:rFonts w:hint="eastAsia" w:ascii="宋体" w:hAnsi="宋体" w:eastAsia="宋体" w:cs="宋体"/>
          <w:color w:val="auto"/>
          <w:spacing w:val="0"/>
          <w:sz w:val="28"/>
          <w:szCs w:val="28"/>
          <w:highlight w:val="none"/>
          <w:lang w:eastAsia="zh-CN"/>
        </w:rPr>
        <w:t>鄂自然资储评字〔2024〕13号</w:t>
      </w:r>
      <w:r>
        <w:rPr>
          <w:rFonts w:hint="eastAsia" w:ascii="宋体" w:hAnsi="宋体" w:eastAsia="宋体" w:cs="宋体"/>
          <w:spacing w:val="0"/>
          <w:sz w:val="28"/>
          <w:szCs w:val="28"/>
          <w:lang w:val="en-US" w:eastAsia="zh-CN"/>
        </w:rPr>
        <w:t>），</w:t>
      </w:r>
      <w:r>
        <w:rPr>
          <w:rFonts w:hint="eastAsia" w:ascii="宋体" w:hAnsi="宋体" w:eastAsia="宋体" w:cs="宋体"/>
          <w:color w:val="auto"/>
          <w:spacing w:val="0"/>
          <w:sz w:val="28"/>
          <w:szCs w:val="28"/>
          <w:highlight w:val="none"/>
        </w:rPr>
        <w:t>(</w:t>
      </w:r>
      <w:r>
        <w:rPr>
          <w:rFonts w:hint="eastAsia" w:ascii="宋体" w:hAnsi="宋体" w:eastAsia="宋体" w:cs="宋体"/>
          <w:color w:val="auto"/>
          <w:spacing w:val="0"/>
          <w:sz w:val="28"/>
          <w:szCs w:val="28"/>
          <w:highlight w:val="none"/>
          <w:lang w:eastAsia="zh-CN"/>
        </w:rPr>
        <w:t>鄂自然资储备字〔2025〕3号</w:t>
      </w:r>
      <w:r>
        <w:rPr>
          <w:rFonts w:hint="eastAsia" w:ascii="宋体" w:hAnsi="宋体" w:eastAsia="宋体" w:cs="宋体"/>
          <w:color w:val="auto"/>
          <w:spacing w:val="0"/>
          <w:sz w:val="28"/>
          <w:szCs w:val="28"/>
          <w:highlight w:val="none"/>
        </w:rPr>
        <w:t>)</w:t>
      </w:r>
      <w:r>
        <w:rPr>
          <w:rFonts w:hint="eastAsia" w:ascii="宋体" w:hAnsi="宋体" w:eastAsia="宋体" w:cs="宋体"/>
          <w:spacing w:val="0"/>
          <w:sz w:val="28"/>
          <w:szCs w:val="28"/>
          <w:lang w:val="en-US" w:eastAsia="zh-CN"/>
        </w:rPr>
        <w:t>。</w:t>
      </w:r>
      <w:r>
        <w:rPr>
          <w:rFonts w:hint="eastAsia" w:ascii="宋体" w:hAnsi="宋体" w:eastAsia="宋体" w:cs="宋体"/>
          <w:color w:val="auto"/>
          <w:spacing w:val="0"/>
          <w:sz w:val="28"/>
          <w:szCs w:val="28"/>
        </w:rPr>
        <w:t>矿床勘查控制程度、研究程度达到了</w:t>
      </w:r>
      <w:r>
        <w:rPr>
          <w:rFonts w:hint="eastAsia" w:ascii="宋体" w:hAnsi="宋体" w:eastAsia="宋体" w:cs="宋体"/>
          <w:color w:val="auto"/>
          <w:spacing w:val="0"/>
          <w:sz w:val="28"/>
          <w:szCs w:val="28"/>
          <w:lang w:eastAsia="zh-CN"/>
        </w:rPr>
        <w:t>详查</w:t>
      </w:r>
      <w:r>
        <w:rPr>
          <w:rFonts w:hint="eastAsia" w:ascii="宋体" w:hAnsi="宋体" w:eastAsia="宋体" w:cs="宋体"/>
          <w:color w:val="auto"/>
          <w:spacing w:val="0"/>
          <w:sz w:val="28"/>
          <w:szCs w:val="28"/>
        </w:rPr>
        <w:t>阶段工作程度要求，</w:t>
      </w:r>
      <w:r>
        <w:rPr>
          <w:rFonts w:hint="eastAsia" w:ascii="宋体" w:hAnsi="宋体" w:eastAsia="宋体" w:cs="宋体"/>
          <w:spacing w:val="0"/>
          <w:sz w:val="28"/>
          <w:szCs w:val="28"/>
          <w:lang w:val="en-US" w:eastAsia="zh-CN"/>
        </w:rPr>
        <w:t>可作为编制《开采方案》的依据。</w:t>
      </w:r>
    </w:p>
    <w:p w14:paraId="4E0A87CA">
      <w:pPr>
        <w:keepNext w:val="0"/>
        <w:keepLines w:val="0"/>
        <w:pageBreakBefore w:val="0"/>
        <w:widowControl/>
        <w:kinsoku/>
        <w:wordWrap/>
        <w:overflowPunct/>
        <w:topLinePunct w:val="0"/>
        <w:autoSpaceDE/>
        <w:autoSpaceDN/>
        <w:bidi w:val="0"/>
        <w:adjustRightInd/>
        <w:snapToGrid/>
        <w:spacing w:line="560" w:lineRule="exact"/>
        <w:ind w:left="0" w:leftChars="0"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截止</w:t>
      </w:r>
      <w:r>
        <w:rPr>
          <w:rFonts w:hint="eastAsia" w:ascii="宋体" w:hAnsi="宋体" w:eastAsia="宋体" w:cs="宋体"/>
          <w:color w:val="auto"/>
          <w:spacing w:val="0"/>
          <w:kern w:val="0"/>
          <w:sz w:val="28"/>
          <w:szCs w:val="28"/>
          <w:lang w:val="en-US" w:eastAsia="zh-CN"/>
        </w:rPr>
        <w:t>2024年6月30日</w:t>
      </w:r>
      <w:r>
        <w:rPr>
          <w:rFonts w:hint="eastAsia" w:ascii="宋体" w:hAnsi="宋体" w:eastAsia="宋体" w:cs="宋体"/>
          <w:color w:val="auto"/>
          <w:spacing w:val="0"/>
          <w:sz w:val="28"/>
          <w:szCs w:val="28"/>
          <w:highlight w:val="none"/>
        </w:rPr>
        <w:t>，</w:t>
      </w:r>
      <w:r>
        <w:rPr>
          <w:rFonts w:hint="eastAsia" w:ascii="宋体" w:hAnsi="宋体" w:eastAsia="宋体" w:cs="宋体"/>
          <w:color w:val="auto"/>
          <w:spacing w:val="0"/>
          <w:sz w:val="28"/>
          <w:szCs w:val="28"/>
          <w:highlight w:val="none"/>
          <w:lang w:eastAsia="zh-CN"/>
        </w:rPr>
        <w:t>矿区内查明的主矿种为石英砂岩，</w:t>
      </w:r>
      <w:r>
        <w:rPr>
          <w:rFonts w:hint="eastAsia" w:ascii="宋体" w:hAnsi="宋体" w:eastAsia="宋体" w:cs="宋体"/>
          <w:color w:val="auto"/>
          <w:spacing w:val="0"/>
          <w:sz w:val="28"/>
          <w:szCs w:val="28"/>
          <w:highlight w:val="none"/>
        </w:rPr>
        <w:t>资源量如下:</w:t>
      </w:r>
    </w:p>
    <w:p w14:paraId="3EB6EDFF">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color w:val="auto"/>
          <w:spacing w:val="0"/>
          <w:w w:val="100"/>
          <w:sz w:val="28"/>
          <w:szCs w:val="28"/>
          <w:lang w:val="en-US" w:eastAsia="zh-CN"/>
        </w:rPr>
      </w:pPr>
      <w:r>
        <w:rPr>
          <w:rFonts w:hint="eastAsia" w:ascii="宋体" w:hAnsi="宋体" w:eastAsia="宋体" w:cs="宋体"/>
          <w:color w:val="auto"/>
          <w:spacing w:val="0"/>
          <w:w w:val="100"/>
          <w:sz w:val="28"/>
          <w:szCs w:val="28"/>
          <w:lang w:val="en-US" w:eastAsia="zh-CN"/>
        </w:rPr>
        <w:t>累计查明矿产资源量245.6万吨，SiO</w:t>
      </w:r>
      <w:r>
        <w:rPr>
          <w:rFonts w:hint="eastAsia" w:ascii="宋体" w:hAnsi="宋体" w:eastAsia="宋体" w:cs="宋体"/>
          <w:color w:val="auto"/>
          <w:spacing w:val="0"/>
          <w:w w:val="100"/>
          <w:sz w:val="28"/>
          <w:szCs w:val="28"/>
          <w:vertAlign w:val="subscript"/>
          <w:lang w:val="en-US" w:eastAsia="zh-CN"/>
        </w:rPr>
        <w:t>2</w:t>
      </w:r>
      <w:r>
        <w:rPr>
          <w:rFonts w:hint="eastAsia" w:ascii="宋体" w:hAnsi="宋体" w:eastAsia="宋体" w:cs="宋体"/>
          <w:color w:val="auto"/>
          <w:spacing w:val="0"/>
          <w:w w:val="100"/>
          <w:sz w:val="28"/>
          <w:szCs w:val="28"/>
          <w:lang w:val="en-US" w:eastAsia="zh-CN"/>
        </w:rPr>
        <w:t>含量93.28%、Al</w:t>
      </w:r>
      <w:r>
        <w:rPr>
          <w:rFonts w:hint="eastAsia" w:ascii="宋体" w:hAnsi="宋体" w:eastAsia="宋体" w:cs="宋体"/>
          <w:color w:val="auto"/>
          <w:spacing w:val="0"/>
          <w:w w:val="100"/>
          <w:sz w:val="28"/>
          <w:szCs w:val="28"/>
          <w:vertAlign w:val="subscript"/>
          <w:lang w:val="en-US" w:eastAsia="zh-CN"/>
        </w:rPr>
        <w:t>2</w:t>
      </w:r>
      <w:r>
        <w:rPr>
          <w:rFonts w:hint="eastAsia" w:ascii="宋体" w:hAnsi="宋体" w:eastAsia="宋体" w:cs="宋体"/>
          <w:color w:val="auto"/>
          <w:spacing w:val="0"/>
          <w:w w:val="100"/>
          <w:sz w:val="28"/>
          <w:szCs w:val="28"/>
          <w:lang w:val="en-US" w:eastAsia="zh-CN"/>
        </w:rPr>
        <w:t>O</w:t>
      </w:r>
      <w:r>
        <w:rPr>
          <w:rFonts w:hint="eastAsia" w:ascii="宋体" w:hAnsi="宋体" w:eastAsia="宋体" w:cs="宋体"/>
          <w:color w:val="auto"/>
          <w:spacing w:val="0"/>
          <w:w w:val="100"/>
          <w:sz w:val="28"/>
          <w:szCs w:val="28"/>
          <w:vertAlign w:val="subscript"/>
          <w:lang w:val="en-US" w:eastAsia="zh-CN"/>
        </w:rPr>
        <w:t>3</w:t>
      </w:r>
      <w:r>
        <w:rPr>
          <w:rFonts w:hint="eastAsia" w:ascii="宋体" w:hAnsi="宋体" w:eastAsia="宋体" w:cs="宋体"/>
          <w:color w:val="auto"/>
          <w:spacing w:val="0"/>
          <w:w w:val="100"/>
          <w:sz w:val="28"/>
          <w:szCs w:val="28"/>
          <w:lang w:val="en-US" w:eastAsia="zh-CN"/>
        </w:rPr>
        <w:t>含量3.63%、Fe</w:t>
      </w:r>
      <w:r>
        <w:rPr>
          <w:rFonts w:hint="eastAsia" w:ascii="宋体" w:hAnsi="宋体" w:eastAsia="宋体" w:cs="宋体"/>
          <w:color w:val="auto"/>
          <w:spacing w:val="0"/>
          <w:w w:val="100"/>
          <w:sz w:val="28"/>
          <w:szCs w:val="28"/>
          <w:vertAlign w:val="subscript"/>
          <w:lang w:val="en-US" w:eastAsia="zh-CN"/>
        </w:rPr>
        <w:t>2</w:t>
      </w:r>
      <w:r>
        <w:rPr>
          <w:rFonts w:hint="eastAsia" w:ascii="宋体" w:hAnsi="宋体" w:eastAsia="宋体" w:cs="宋体"/>
          <w:color w:val="auto"/>
          <w:spacing w:val="0"/>
          <w:w w:val="100"/>
          <w:sz w:val="28"/>
          <w:szCs w:val="28"/>
          <w:lang w:val="en-US" w:eastAsia="zh-CN"/>
        </w:rPr>
        <w:t>O</w:t>
      </w:r>
      <w:r>
        <w:rPr>
          <w:rFonts w:hint="eastAsia" w:ascii="宋体" w:hAnsi="宋体" w:eastAsia="宋体" w:cs="宋体"/>
          <w:color w:val="auto"/>
          <w:spacing w:val="0"/>
          <w:w w:val="100"/>
          <w:sz w:val="28"/>
          <w:szCs w:val="28"/>
          <w:vertAlign w:val="subscript"/>
          <w:lang w:val="en-US" w:eastAsia="zh-CN"/>
        </w:rPr>
        <w:t>3</w:t>
      </w:r>
      <w:r>
        <w:rPr>
          <w:rFonts w:hint="eastAsia" w:ascii="宋体" w:hAnsi="宋体" w:eastAsia="宋体" w:cs="宋体"/>
          <w:color w:val="auto"/>
          <w:spacing w:val="0"/>
          <w:w w:val="100"/>
          <w:sz w:val="28"/>
          <w:szCs w:val="28"/>
          <w:lang w:val="en-US" w:eastAsia="zh-CN"/>
        </w:rPr>
        <w:t>含量0.53%、CaO含量0.33%；其中控制资源量107.4万吨，推断资源量138.2万吨。</w:t>
      </w:r>
    </w:p>
    <w:p w14:paraId="6E36691E">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color w:val="auto"/>
          <w:spacing w:val="0"/>
          <w:w w:val="100"/>
          <w:sz w:val="28"/>
          <w:szCs w:val="28"/>
          <w:lang w:val="en-US" w:eastAsia="zh-CN"/>
        </w:rPr>
      </w:pPr>
      <w:r>
        <w:rPr>
          <w:rFonts w:hint="eastAsia" w:ascii="宋体" w:hAnsi="宋体" w:eastAsia="宋体" w:cs="宋体"/>
          <w:color w:val="auto"/>
          <w:spacing w:val="0"/>
          <w:w w:val="100"/>
          <w:sz w:val="28"/>
          <w:szCs w:val="28"/>
          <w:lang w:val="en-US" w:eastAsia="zh-CN"/>
        </w:rPr>
        <w:t>累计动用资源量21.8万吨，SiO</w:t>
      </w:r>
      <w:r>
        <w:rPr>
          <w:rFonts w:hint="eastAsia" w:ascii="宋体" w:hAnsi="宋体" w:eastAsia="宋体" w:cs="宋体"/>
          <w:color w:val="auto"/>
          <w:spacing w:val="0"/>
          <w:w w:val="100"/>
          <w:sz w:val="28"/>
          <w:szCs w:val="28"/>
          <w:vertAlign w:val="subscript"/>
          <w:lang w:val="en-US" w:eastAsia="zh-CN"/>
        </w:rPr>
        <w:t>2</w:t>
      </w:r>
      <w:r>
        <w:rPr>
          <w:rFonts w:hint="eastAsia" w:ascii="宋体" w:hAnsi="宋体" w:eastAsia="宋体" w:cs="宋体"/>
          <w:color w:val="auto"/>
          <w:spacing w:val="0"/>
          <w:w w:val="100"/>
          <w:sz w:val="28"/>
          <w:szCs w:val="28"/>
          <w:lang w:val="en-US" w:eastAsia="zh-CN"/>
        </w:rPr>
        <w:t>含量94.09%、Al</w:t>
      </w:r>
      <w:r>
        <w:rPr>
          <w:rFonts w:hint="eastAsia" w:ascii="宋体" w:hAnsi="宋体" w:eastAsia="宋体" w:cs="宋体"/>
          <w:color w:val="auto"/>
          <w:spacing w:val="0"/>
          <w:w w:val="100"/>
          <w:sz w:val="28"/>
          <w:szCs w:val="28"/>
          <w:vertAlign w:val="subscript"/>
          <w:lang w:val="en-US" w:eastAsia="zh-CN"/>
        </w:rPr>
        <w:t>2</w:t>
      </w:r>
      <w:r>
        <w:rPr>
          <w:rFonts w:hint="eastAsia" w:ascii="宋体" w:hAnsi="宋体" w:eastAsia="宋体" w:cs="宋体"/>
          <w:color w:val="auto"/>
          <w:spacing w:val="0"/>
          <w:w w:val="100"/>
          <w:sz w:val="28"/>
          <w:szCs w:val="28"/>
          <w:lang w:val="en-US" w:eastAsia="zh-CN"/>
        </w:rPr>
        <w:t>O</w:t>
      </w:r>
      <w:r>
        <w:rPr>
          <w:rFonts w:hint="eastAsia" w:ascii="宋体" w:hAnsi="宋体" w:eastAsia="宋体" w:cs="宋体"/>
          <w:color w:val="auto"/>
          <w:spacing w:val="0"/>
          <w:w w:val="100"/>
          <w:sz w:val="28"/>
          <w:szCs w:val="28"/>
          <w:vertAlign w:val="subscript"/>
          <w:lang w:val="en-US" w:eastAsia="zh-CN"/>
        </w:rPr>
        <w:t>3</w:t>
      </w:r>
      <w:r>
        <w:rPr>
          <w:rFonts w:hint="eastAsia" w:ascii="宋体" w:hAnsi="宋体" w:eastAsia="宋体" w:cs="宋体"/>
          <w:color w:val="auto"/>
          <w:spacing w:val="0"/>
          <w:w w:val="100"/>
          <w:sz w:val="28"/>
          <w:szCs w:val="28"/>
          <w:lang w:val="en-US" w:eastAsia="zh-CN"/>
        </w:rPr>
        <w:t>含量3.37%、Fe</w:t>
      </w:r>
      <w:r>
        <w:rPr>
          <w:rFonts w:hint="eastAsia" w:ascii="宋体" w:hAnsi="宋体" w:eastAsia="宋体" w:cs="宋体"/>
          <w:color w:val="auto"/>
          <w:spacing w:val="0"/>
          <w:w w:val="100"/>
          <w:sz w:val="28"/>
          <w:szCs w:val="28"/>
          <w:vertAlign w:val="subscript"/>
          <w:lang w:val="en-US" w:eastAsia="zh-CN"/>
        </w:rPr>
        <w:t>2</w:t>
      </w:r>
      <w:r>
        <w:rPr>
          <w:rFonts w:hint="eastAsia" w:ascii="宋体" w:hAnsi="宋体" w:eastAsia="宋体" w:cs="宋体"/>
          <w:color w:val="auto"/>
          <w:spacing w:val="0"/>
          <w:w w:val="100"/>
          <w:sz w:val="28"/>
          <w:szCs w:val="28"/>
          <w:lang w:val="en-US" w:eastAsia="zh-CN"/>
        </w:rPr>
        <w:t>O</w:t>
      </w:r>
      <w:r>
        <w:rPr>
          <w:rFonts w:hint="eastAsia" w:ascii="宋体" w:hAnsi="宋体" w:eastAsia="宋体" w:cs="宋体"/>
          <w:color w:val="auto"/>
          <w:spacing w:val="0"/>
          <w:w w:val="100"/>
          <w:sz w:val="28"/>
          <w:szCs w:val="28"/>
          <w:vertAlign w:val="subscript"/>
          <w:lang w:val="en-US" w:eastAsia="zh-CN"/>
        </w:rPr>
        <w:t>3</w:t>
      </w:r>
      <w:r>
        <w:rPr>
          <w:rFonts w:hint="eastAsia" w:ascii="宋体" w:hAnsi="宋体" w:eastAsia="宋体" w:cs="宋体"/>
          <w:color w:val="auto"/>
          <w:spacing w:val="0"/>
          <w:w w:val="100"/>
          <w:sz w:val="28"/>
          <w:szCs w:val="28"/>
          <w:lang w:val="en-US" w:eastAsia="zh-CN"/>
        </w:rPr>
        <w:t>含量0.22%、CaO含量0.09%。</w:t>
      </w:r>
    </w:p>
    <w:p w14:paraId="64D68B92">
      <w:pPr>
        <w:keepNext w:val="0"/>
        <w:keepLines w:val="0"/>
        <w:pageBreakBefore w:val="0"/>
        <w:widowControl/>
        <w:kinsoku/>
        <w:wordWrap/>
        <w:overflowPunct/>
        <w:topLinePunct w:val="0"/>
        <w:autoSpaceDE/>
        <w:autoSpaceDN/>
        <w:bidi w:val="0"/>
        <w:adjustRightInd/>
        <w:snapToGrid/>
        <w:spacing w:line="560" w:lineRule="exact"/>
        <w:ind w:left="0" w:leftChars="0" w:firstLine="560" w:firstLineChars="200"/>
        <w:textAlignment w:val="auto"/>
        <w:rPr>
          <w:rFonts w:hint="eastAsia" w:ascii="宋体" w:hAnsi="宋体" w:eastAsia="宋体" w:cs="宋体"/>
          <w:color w:val="auto"/>
          <w:spacing w:val="0"/>
          <w:sz w:val="28"/>
          <w:szCs w:val="28"/>
          <w:highlight w:val="yellow"/>
        </w:rPr>
      </w:pPr>
      <w:r>
        <w:rPr>
          <w:rFonts w:hint="eastAsia" w:ascii="宋体" w:hAnsi="宋体" w:eastAsia="宋体" w:cs="宋体"/>
          <w:color w:val="auto"/>
          <w:spacing w:val="0"/>
          <w:w w:val="100"/>
          <w:sz w:val="28"/>
          <w:szCs w:val="28"/>
          <w:lang w:val="en-US" w:eastAsia="zh-CN"/>
        </w:rPr>
        <w:t>保有资源量223.8万吨，SiO</w:t>
      </w:r>
      <w:r>
        <w:rPr>
          <w:rFonts w:hint="eastAsia" w:ascii="宋体" w:hAnsi="宋体" w:eastAsia="宋体" w:cs="宋体"/>
          <w:color w:val="auto"/>
          <w:spacing w:val="0"/>
          <w:w w:val="100"/>
          <w:sz w:val="28"/>
          <w:szCs w:val="28"/>
          <w:vertAlign w:val="subscript"/>
          <w:lang w:val="en-US" w:eastAsia="zh-CN"/>
        </w:rPr>
        <w:t>2</w:t>
      </w:r>
      <w:r>
        <w:rPr>
          <w:rFonts w:hint="eastAsia" w:ascii="宋体" w:hAnsi="宋体" w:eastAsia="宋体" w:cs="宋体"/>
          <w:color w:val="auto"/>
          <w:spacing w:val="0"/>
          <w:w w:val="100"/>
          <w:sz w:val="28"/>
          <w:szCs w:val="28"/>
          <w:lang w:val="en-US" w:eastAsia="zh-CN"/>
        </w:rPr>
        <w:t>含量92.87%、Al</w:t>
      </w:r>
      <w:r>
        <w:rPr>
          <w:rFonts w:hint="eastAsia" w:ascii="宋体" w:hAnsi="宋体" w:eastAsia="宋体" w:cs="宋体"/>
          <w:color w:val="auto"/>
          <w:spacing w:val="0"/>
          <w:w w:val="100"/>
          <w:sz w:val="28"/>
          <w:szCs w:val="28"/>
          <w:vertAlign w:val="subscript"/>
          <w:lang w:val="en-US" w:eastAsia="zh-CN"/>
        </w:rPr>
        <w:t>2</w:t>
      </w:r>
      <w:r>
        <w:rPr>
          <w:rFonts w:hint="eastAsia" w:ascii="宋体" w:hAnsi="宋体" w:eastAsia="宋体" w:cs="宋体"/>
          <w:color w:val="auto"/>
          <w:spacing w:val="0"/>
          <w:w w:val="100"/>
          <w:sz w:val="28"/>
          <w:szCs w:val="28"/>
          <w:lang w:val="en-US" w:eastAsia="zh-CN"/>
        </w:rPr>
        <w:t>O</w:t>
      </w:r>
      <w:r>
        <w:rPr>
          <w:rFonts w:hint="eastAsia" w:ascii="宋体" w:hAnsi="宋体" w:eastAsia="宋体" w:cs="宋体"/>
          <w:color w:val="auto"/>
          <w:spacing w:val="0"/>
          <w:w w:val="100"/>
          <w:sz w:val="28"/>
          <w:szCs w:val="28"/>
          <w:vertAlign w:val="subscript"/>
          <w:lang w:val="en-US" w:eastAsia="zh-CN"/>
        </w:rPr>
        <w:t>3</w:t>
      </w:r>
      <w:r>
        <w:rPr>
          <w:rFonts w:hint="eastAsia" w:ascii="宋体" w:hAnsi="宋体" w:eastAsia="宋体" w:cs="宋体"/>
          <w:color w:val="auto"/>
          <w:spacing w:val="0"/>
          <w:w w:val="100"/>
          <w:sz w:val="28"/>
          <w:szCs w:val="28"/>
          <w:lang w:val="en-US" w:eastAsia="zh-CN"/>
        </w:rPr>
        <w:t>含量3.75%、Fe</w:t>
      </w:r>
      <w:r>
        <w:rPr>
          <w:rFonts w:hint="eastAsia" w:ascii="宋体" w:hAnsi="宋体" w:eastAsia="宋体" w:cs="宋体"/>
          <w:color w:val="auto"/>
          <w:spacing w:val="0"/>
          <w:w w:val="100"/>
          <w:sz w:val="28"/>
          <w:szCs w:val="28"/>
          <w:vertAlign w:val="subscript"/>
          <w:lang w:val="en-US" w:eastAsia="zh-CN"/>
        </w:rPr>
        <w:t>2</w:t>
      </w:r>
      <w:r>
        <w:rPr>
          <w:rFonts w:hint="eastAsia" w:ascii="宋体" w:hAnsi="宋体" w:eastAsia="宋体" w:cs="宋体"/>
          <w:color w:val="auto"/>
          <w:spacing w:val="0"/>
          <w:w w:val="100"/>
          <w:sz w:val="28"/>
          <w:szCs w:val="28"/>
          <w:lang w:val="en-US" w:eastAsia="zh-CN"/>
        </w:rPr>
        <w:t>O</w:t>
      </w:r>
      <w:r>
        <w:rPr>
          <w:rFonts w:hint="eastAsia" w:ascii="宋体" w:hAnsi="宋体" w:eastAsia="宋体" w:cs="宋体"/>
          <w:color w:val="auto"/>
          <w:spacing w:val="0"/>
          <w:w w:val="100"/>
          <w:sz w:val="28"/>
          <w:szCs w:val="28"/>
          <w:vertAlign w:val="subscript"/>
          <w:lang w:val="en-US" w:eastAsia="zh-CN"/>
        </w:rPr>
        <w:t>3</w:t>
      </w:r>
      <w:r>
        <w:rPr>
          <w:rFonts w:hint="eastAsia" w:ascii="宋体" w:hAnsi="宋体" w:eastAsia="宋体" w:cs="宋体"/>
          <w:color w:val="auto"/>
          <w:spacing w:val="0"/>
          <w:w w:val="100"/>
          <w:sz w:val="28"/>
          <w:szCs w:val="28"/>
          <w:lang w:val="en-US" w:eastAsia="zh-CN"/>
        </w:rPr>
        <w:t>含量0.69%、CaO含量0.44%；其中控制资源量107.4万吨，推断资源量116.4万吨</w:t>
      </w:r>
      <w:r>
        <w:rPr>
          <w:rFonts w:hint="eastAsia" w:ascii="宋体" w:hAnsi="宋体" w:eastAsia="宋体" w:cs="宋体"/>
          <w:color w:val="auto"/>
          <w:spacing w:val="0"/>
          <w:sz w:val="28"/>
          <w:szCs w:val="28"/>
          <w:lang w:eastAsia="zh-CN"/>
        </w:rPr>
        <w:t>。</w:t>
      </w:r>
    </w:p>
    <w:p w14:paraId="735B97A1">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开采区域</w:t>
      </w:r>
    </w:p>
    <w:p w14:paraId="602BB3B7">
      <w:pPr>
        <w:keepNext w:val="0"/>
        <w:keepLines w:val="0"/>
        <w:pageBreakBefore w:val="0"/>
        <w:numPr>
          <w:ilvl w:val="0"/>
          <w:numId w:val="2"/>
        </w:numPr>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采矿权</w:t>
      </w:r>
    </w:p>
    <w:p w14:paraId="54D2399D">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采矿许可证号：C1506002010077130071527，采矿权人：准格尔旗华阳石英砂厂，矿山名称：准格尔旗华阳石英砂厂，开采矿种：天然石英砂，开采方式：露天开采，生产规模：4.5万立方米/年，矿区面积：0.4853km2，有效期限：叁年（2023年6月9日至2026年6月9日），发证机关：鄂尔多斯市自然资源局，矿区范围由10个拐点圈定，开采深度1245～1215m标高。</w:t>
      </w:r>
    </w:p>
    <w:p w14:paraId="66D4F48A">
      <w:pPr>
        <w:keepNext w:val="0"/>
        <w:keepLines w:val="0"/>
        <w:pageBreakBefore w:val="0"/>
        <w:numPr>
          <w:ilvl w:val="0"/>
          <w:numId w:val="2"/>
        </w:numPr>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探矿权</w:t>
      </w:r>
    </w:p>
    <w:p w14:paraId="12825478">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准格尔旗华阳石英砂厂与鄂尔多斯市自然资源局签订了“探矿权出让合同”（合同编号T1506002024011），出让方式为协议出让，勘查项目名称为准格尔旗华阳石英砂厂上部资源探矿权，受让人为准格尔旗华阳石英砂厂，勘查矿种为天然石英砂，面积为0.4853km</w:t>
      </w:r>
      <w:r>
        <w:rPr>
          <w:rFonts w:hint="eastAsia" w:ascii="宋体" w:hAnsi="宋体" w:eastAsia="宋体" w:cs="宋体"/>
          <w:spacing w:val="0"/>
          <w:sz w:val="28"/>
          <w:szCs w:val="28"/>
          <w:vertAlign w:val="superscript"/>
          <w:lang w:val="en-US" w:eastAsia="zh-CN"/>
        </w:rPr>
        <w:t>2</w:t>
      </w:r>
      <w:r>
        <w:rPr>
          <w:rFonts w:hint="eastAsia" w:ascii="宋体" w:hAnsi="宋体" w:eastAsia="宋体" w:cs="宋体"/>
          <w:spacing w:val="0"/>
          <w:sz w:val="28"/>
          <w:szCs w:val="28"/>
          <w:lang w:val="en-US" w:eastAsia="zh-CN"/>
        </w:rPr>
        <w:t>，勘查范围由10个拐点圈定，与采矿权矿区范围一致；出让年限至已设采矿权完成整合为止，不超过5年。</w:t>
      </w:r>
    </w:p>
    <w:p w14:paraId="6D9913B2">
      <w:pPr>
        <w:keepNext w:val="0"/>
        <w:keepLines w:val="0"/>
        <w:pageBreakBefore w:val="0"/>
        <w:numPr>
          <w:ilvl w:val="0"/>
          <w:numId w:val="2"/>
        </w:numPr>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申请开采区域</w:t>
      </w:r>
    </w:p>
    <w:p w14:paraId="6DBC4C14">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根据现采矿权范围、探矿权范围、资源储量估算范围、露天剥离范围的立体空间区域综合确定申请开采区域，申请开采区域范围由10个拐点圈定，矿区面积0.4853km</w:t>
      </w:r>
      <w:r>
        <w:rPr>
          <w:rFonts w:hint="eastAsia" w:ascii="宋体" w:hAnsi="宋体" w:eastAsia="宋体" w:cs="宋体"/>
          <w:spacing w:val="0"/>
          <w:sz w:val="28"/>
          <w:szCs w:val="28"/>
          <w:vertAlign w:val="superscript"/>
          <w:lang w:val="en-US" w:eastAsia="zh-CN"/>
        </w:rPr>
        <w:t>2</w:t>
      </w:r>
      <w:r>
        <w:rPr>
          <w:rFonts w:hint="eastAsia" w:ascii="宋体" w:hAnsi="宋体" w:eastAsia="宋体" w:cs="宋体"/>
          <w:spacing w:val="0"/>
          <w:sz w:val="28"/>
          <w:szCs w:val="28"/>
          <w:lang w:val="en-US" w:eastAsia="zh-CN"/>
        </w:rPr>
        <w:t>，开采方式为露天开采，开采深度由1405m至1339m标高，露天剥离标高为地表至1336m。</w:t>
      </w:r>
    </w:p>
    <w:p w14:paraId="247D74CA">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申请开采区域符合鄂尔多斯市矿产资源总体规划。</w:t>
      </w:r>
    </w:p>
    <w:p w14:paraId="515CC6DE">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矿产资源开采</w:t>
      </w:r>
    </w:p>
    <w:p w14:paraId="55AD640C">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《开采方案》确定的开采主矿种为石英砂岩，无共伴生有用矿产。开采方式为露天开采，开拓方案采用公路开拓、汽车运输方案，采用整体一次性开发，自上而下分台阶顺序开采。</w:t>
      </w:r>
    </w:p>
    <w:p w14:paraId="67913A47">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rPr>
        <w:t>《开采方案》</w:t>
      </w:r>
      <w:r>
        <w:rPr>
          <w:rFonts w:hint="eastAsia" w:ascii="宋体" w:hAnsi="宋体" w:eastAsia="宋体" w:cs="宋体"/>
          <w:spacing w:val="0"/>
          <w:sz w:val="28"/>
          <w:szCs w:val="28"/>
          <w:lang w:val="en-US" w:eastAsia="zh-CN"/>
        </w:rPr>
        <w:t>设计采用资源量160.20万吨。</w:t>
      </w:r>
    </w:p>
    <w:p w14:paraId="6E8D761F">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val="en-US" w:eastAsia="zh-CN"/>
        </w:rPr>
        <w:t>《开采方案》推荐的开采回采率为95%，设计可采资源量为152.19万吨。</w:t>
      </w:r>
    </w:p>
    <w:p w14:paraId="41F818A8">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拟建生产规模为</w:t>
      </w:r>
      <w:r>
        <w:rPr>
          <w:rFonts w:hint="eastAsia" w:ascii="宋体" w:hAnsi="宋体" w:eastAsia="宋体" w:cs="宋体"/>
          <w:spacing w:val="0"/>
          <w:sz w:val="28"/>
          <w:szCs w:val="28"/>
          <w:lang w:val="en-US" w:eastAsia="zh-CN"/>
        </w:rPr>
        <w:t>13.8</w:t>
      </w:r>
      <w:r>
        <w:rPr>
          <w:rFonts w:hint="eastAsia" w:ascii="宋体" w:hAnsi="宋体" w:eastAsia="宋体" w:cs="宋体"/>
          <w:spacing w:val="0"/>
          <w:sz w:val="28"/>
          <w:szCs w:val="28"/>
        </w:rPr>
        <w:t>万吨/年，矿山服务年限约为</w:t>
      </w:r>
      <w:r>
        <w:rPr>
          <w:rFonts w:hint="eastAsia" w:ascii="宋体" w:hAnsi="宋体" w:eastAsia="宋体" w:cs="宋体"/>
          <w:spacing w:val="0"/>
          <w:sz w:val="28"/>
          <w:szCs w:val="28"/>
          <w:lang w:val="en-US" w:eastAsia="zh-CN"/>
        </w:rPr>
        <w:t>12</w:t>
      </w:r>
      <w:r>
        <w:rPr>
          <w:rFonts w:hint="eastAsia" w:ascii="宋体" w:hAnsi="宋体" w:eastAsia="宋体" w:cs="宋体"/>
          <w:spacing w:val="0"/>
          <w:sz w:val="28"/>
          <w:szCs w:val="28"/>
        </w:rPr>
        <w:t>年</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rPr>
        <w:t>矿产资源开采方案合理。</w:t>
      </w:r>
    </w:p>
    <w:p w14:paraId="0F3B2C05">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矿产资源综合利用</w:t>
      </w:r>
    </w:p>
    <w:p w14:paraId="324426EB">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eastAsia="zh-CN"/>
        </w:rPr>
        <w:t>《开采方案》</w:t>
      </w:r>
      <w:r>
        <w:rPr>
          <w:rFonts w:hint="eastAsia" w:ascii="宋体" w:hAnsi="宋体" w:eastAsia="宋体" w:cs="宋体"/>
          <w:spacing w:val="0"/>
          <w:sz w:val="28"/>
          <w:szCs w:val="28"/>
          <w:lang w:val="en-US" w:eastAsia="zh-CN"/>
        </w:rPr>
        <w:t>推荐矿石加工方案采用</w:t>
      </w:r>
      <w:r>
        <w:rPr>
          <w:rFonts w:hint="eastAsia" w:ascii="宋体" w:hAnsi="宋体" w:eastAsia="宋体" w:cs="宋体"/>
          <w:spacing w:val="0"/>
          <w:sz w:val="28"/>
          <w:szCs w:val="28"/>
        </w:rPr>
        <w:t>“破碎</w:t>
      </w:r>
      <w:r>
        <w:rPr>
          <w:rFonts w:hint="eastAsia" w:ascii="宋体" w:hAnsi="宋体" w:eastAsia="宋体" w:cs="宋体"/>
          <w:spacing w:val="0"/>
          <w:sz w:val="28"/>
          <w:szCs w:val="28"/>
          <w:lang w:eastAsia="zh-CN"/>
        </w:rPr>
        <w:t>—筛分</w:t>
      </w:r>
      <w:r>
        <w:rPr>
          <w:rFonts w:hint="eastAsia" w:ascii="宋体" w:hAnsi="宋体" w:eastAsia="宋体" w:cs="宋体"/>
          <w:spacing w:val="0"/>
          <w:sz w:val="28"/>
          <w:szCs w:val="28"/>
        </w:rPr>
        <w:t>”工艺，产品为</w:t>
      </w:r>
      <w:r>
        <w:rPr>
          <w:rFonts w:hint="eastAsia" w:ascii="宋体" w:hAnsi="宋体" w:eastAsia="宋体" w:cs="宋体"/>
          <w:spacing w:val="0"/>
          <w:sz w:val="28"/>
          <w:szCs w:val="28"/>
          <w:lang w:eastAsia="zh-CN"/>
        </w:rPr>
        <w:t>石英砂岩原矿（</w:t>
      </w:r>
      <w:r>
        <w:rPr>
          <w:rFonts w:hint="eastAsia" w:ascii="宋体" w:hAnsi="宋体" w:eastAsia="宋体" w:cs="宋体"/>
          <w:spacing w:val="0"/>
          <w:sz w:val="28"/>
          <w:szCs w:val="28"/>
          <w:lang w:val="en-US" w:eastAsia="zh-CN"/>
        </w:rPr>
        <w:t>-80mm</w:t>
      </w:r>
      <w:r>
        <w:rPr>
          <w:rFonts w:hint="eastAsia" w:ascii="宋体" w:hAnsi="宋体" w:eastAsia="宋体" w:cs="宋体"/>
          <w:spacing w:val="0"/>
          <w:sz w:val="28"/>
          <w:szCs w:val="28"/>
          <w:lang w:eastAsia="zh-CN"/>
        </w:rPr>
        <w:t>合格粒级），</w:t>
      </w:r>
      <w:r>
        <w:rPr>
          <w:rFonts w:hint="eastAsia" w:ascii="宋体" w:hAnsi="宋体" w:eastAsia="宋体" w:cs="宋体"/>
          <w:spacing w:val="0"/>
          <w:sz w:val="28"/>
          <w:szCs w:val="28"/>
          <w:lang w:val="en-US" w:eastAsia="zh-CN"/>
        </w:rPr>
        <w:t>不涉及选矿回收率。</w:t>
      </w:r>
      <w:r>
        <w:rPr>
          <w:rFonts w:hint="eastAsia" w:ascii="宋体" w:hAnsi="宋体" w:eastAsia="宋体" w:cs="宋体"/>
          <w:spacing w:val="0"/>
          <w:sz w:val="28"/>
          <w:szCs w:val="28"/>
        </w:rPr>
        <w:t>矿区矿石为</w:t>
      </w:r>
      <w:r>
        <w:rPr>
          <w:rFonts w:hint="eastAsia" w:ascii="宋体" w:hAnsi="宋体" w:eastAsia="宋体" w:cs="宋体"/>
          <w:spacing w:val="0"/>
          <w:sz w:val="28"/>
          <w:szCs w:val="28"/>
          <w:lang w:eastAsia="zh-CN"/>
        </w:rPr>
        <w:t>冶金熔剂</w:t>
      </w:r>
      <w:r>
        <w:rPr>
          <w:rFonts w:hint="eastAsia" w:ascii="宋体" w:hAnsi="宋体" w:eastAsia="宋体" w:cs="宋体"/>
          <w:spacing w:val="0"/>
          <w:sz w:val="28"/>
          <w:szCs w:val="28"/>
        </w:rPr>
        <w:t>用石英砂岩，无其他共伴生矿产资源</w:t>
      </w:r>
      <w:r>
        <w:rPr>
          <w:rFonts w:hint="eastAsia" w:ascii="宋体" w:hAnsi="宋体" w:eastAsia="宋体" w:cs="宋体"/>
          <w:spacing w:val="0"/>
          <w:sz w:val="28"/>
          <w:szCs w:val="28"/>
          <w:lang w:val="en-US" w:eastAsia="zh-CN"/>
        </w:rPr>
        <w:t>。</w:t>
      </w:r>
    </w:p>
    <w:p w14:paraId="2F5FAF65">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矿产资源“三率”指标</w:t>
      </w:r>
    </w:p>
    <w:p w14:paraId="526D57E9">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lang w:eastAsia="zh-CN"/>
        </w:rPr>
        <w:t>《开采方案》</w:t>
      </w:r>
      <w:r>
        <w:rPr>
          <w:rFonts w:hint="eastAsia" w:ascii="宋体" w:hAnsi="宋体" w:eastAsia="宋体" w:cs="宋体"/>
          <w:spacing w:val="0"/>
          <w:sz w:val="28"/>
          <w:szCs w:val="28"/>
          <w:lang w:val="en-US" w:eastAsia="zh-CN"/>
        </w:rPr>
        <w:t>推荐开采回采率95%，达到《矿产资源“三率”指标要求  第7部分：石英岩、石英砂岩、脉石英、天然石英砂、粉石英》（DZ/T 0462.7-2023）中一般指标要求；加工工艺为</w:t>
      </w:r>
      <w:r>
        <w:rPr>
          <w:rFonts w:hint="eastAsia" w:ascii="宋体" w:hAnsi="宋体" w:eastAsia="宋体" w:cs="宋体"/>
          <w:spacing w:val="0"/>
          <w:sz w:val="28"/>
          <w:szCs w:val="28"/>
        </w:rPr>
        <w:t>“破碎</w:t>
      </w:r>
      <w:r>
        <w:rPr>
          <w:rFonts w:hint="eastAsia" w:ascii="宋体" w:hAnsi="宋体" w:eastAsia="宋体" w:cs="宋体"/>
          <w:spacing w:val="0"/>
          <w:sz w:val="28"/>
          <w:szCs w:val="28"/>
          <w:lang w:eastAsia="zh-CN"/>
        </w:rPr>
        <w:t>—筛分</w:t>
      </w:r>
      <w:r>
        <w:rPr>
          <w:rFonts w:hint="eastAsia" w:ascii="宋体" w:hAnsi="宋体" w:eastAsia="宋体" w:cs="宋体"/>
          <w:spacing w:val="0"/>
          <w:sz w:val="28"/>
          <w:szCs w:val="28"/>
        </w:rPr>
        <w:t>”工艺</w:t>
      </w:r>
      <w:r>
        <w:rPr>
          <w:rFonts w:hint="eastAsia" w:ascii="宋体" w:hAnsi="宋体" w:eastAsia="宋体" w:cs="宋体"/>
          <w:spacing w:val="0"/>
          <w:sz w:val="28"/>
          <w:szCs w:val="28"/>
          <w:lang w:eastAsia="zh-CN"/>
        </w:rPr>
        <w:t>，不涉及选矿回收率</w:t>
      </w:r>
      <w:r>
        <w:rPr>
          <w:rFonts w:hint="eastAsia" w:ascii="宋体" w:hAnsi="宋体" w:eastAsia="宋体" w:cs="宋体"/>
          <w:spacing w:val="0"/>
          <w:sz w:val="28"/>
          <w:szCs w:val="28"/>
          <w:lang w:val="en-US" w:eastAsia="zh-CN"/>
        </w:rPr>
        <w:t>；矿山无共伴生矿产资源，不涉及共伴生矿产综合利用率。</w:t>
      </w:r>
    </w:p>
    <w:p w14:paraId="59284BC8">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说明与建议</w:t>
      </w:r>
    </w:p>
    <w:p w14:paraId="329B031F">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矿山建设、生产中须严格执行安全、生态保护等规定。矿山安全、环境影响评价、矿区生态修复、水土保持等按照各相应主管部门审批的方案执行。</w:t>
      </w:r>
    </w:p>
    <w:p w14:paraId="57BE3B2A">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评审结论</w:t>
      </w:r>
    </w:p>
    <w:p w14:paraId="08972177">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《开采方案》</w:t>
      </w:r>
      <w:r>
        <w:rPr>
          <w:rFonts w:hint="eastAsia" w:ascii="宋体" w:hAnsi="宋体" w:eastAsia="宋体" w:cs="宋体"/>
          <w:spacing w:val="0"/>
          <w:sz w:val="28"/>
          <w:szCs w:val="28"/>
          <w:lang w:val="en-US" w:eastAsia="zh-CN"/>
        </w:rPr>
        <w:t>符合</w:t>
      </w:r>
      <w:r>
        <w:rPr>
          <w:rFonts w:hint="eastAsia" w:ascii="宋体" w:hAnsi="宋体" w:eastAsia="宋体" w:cs="宋体"/>
          <w:spacing w:val="0"/>
          <w:sz w:val="28"/>
          <w:szCs w:val="28"/>
        </w:rPr>
        <w:t>《内蒙古自治区自然资源厅关于做好&lt;矿产资源法&gt;实施衔接过渡期矿产资源勘查方案、开采方案评审工作的公告》（公告〔2025〕27号）等文件要求，同意通过评审。</w:t>
      </w:r>
    </w:p>
    <w:p w14:paraId="2E16DB0D">
      <w:pPr>
        <w:keepNext w:val="0"/>
        <w:keepLines w:val="0"/>
        <w:pageBreakBefore w:val="0"/>
        <w:kinsoku/>
        <w:wordWrap/>
        <w:overflowPunct/>
        <w:topLinePunct w:val="0"/>
        <w:autoSpaceDE/>
        <w:autoSpaceDN/>
        <w:bidi w:val="0"/>
        <w:spacing w:line="560" w:lineRule="exact"/>
        <w:ind w:left="0" w:leftChars="0" w:firstLine="560" w:firstLineChars="200"/>
        <w:textAlignment w:val="auto"/>
        <w:rPr>
          <w:rFonts w:hint="eastAsia" w:ascii="宋体" w:hAnsi="宋体" w:eastAsia="宋体" w:cs="宋体"/>
          <w:spacing w:val="0"/>
          <w:sz w:val="28"/>
          <w:szCs w:val="28"/>
        </w:rPr>
      </w:pPr>
    </w:p>
    <w:p w14:paraId="23F1B151">
      <w:pPr>
        <w:keepNext w:val="0"/>
        <w:keepLines w:val="0"/>
        <w:pageBreakBefore w:val="0"/>
        <w:tabs>
          <w:tab w:val="left" w:pos="312"/>
        </w:tabs>
        <w:kinsoku/>
        <w:wordWrap/>
        <w:overflowPunct/>
        <w:topLinePunct w:val="0"/>
        <w:autoSpaceDE/>
        <w:autoSpaceDN/>
        <w:bidi w:val="0"/>
        <w:adjustRightInd w:val="0"/>
        <w:snapToGrid w:val="0"/>
        <w:spacing w:line="560" w:lineRule="exact"/>
        <w:ind w:left="0" w:leftChars="0" w:firstLine="560" w:firstLineChars="200"/>
        <w:jc w:val="left"/>
        <w:textAlignment w:val="auto"/>
        <w:rPr>
          <w:rFonts w:hint="eastAsia" w:ascii="宋体" w:hAnsi="宋体" w:eastAsia="宋体" w:cs="宋体"/>
          <w:spacing w:val="0"/>
          <w:sz w:val="28"/>
          <w:szCs w:val="28"/>
        </w:rPr>
      </w:pPr>
      <w:r>
        <w:rPr>
          <w:rFonts w:hint="eastAsia" w:ascii="宋体" w:hAnsi="宋体" w:eastAsia="宋体" w:cs="宋体"/>
          <w:bCs/>
          <w:spacing w:val="0"/>
          <w:sz w:val="28"/>
          <w:szCs w:val="28"/>
          <w:lang w:bidi="en-US"/>
        </w:rPr>
        <w:t>附件：《</w:t>
      </w:r>
      <w:r>
        <w:rPr>
          <w:rFonts w:hint="eastAsia" w:ascii="宋体" w:hAnsi="宋体" w:eastAsia="宋体" w:cs="宋体"/>
          <w:bCs/>
          <w:spacing w:val="0"/>
          <w:sz w:val="28"/>
          <w:szCs w:val="28"/>
          <w:lang w:eastAsia="zh-CN" w:bidi="en-US"/>
        </w:rPr>
        <w:t>准格尔旗华阳石英砂厂</w:t>
      </w:r>
      <w:r>
        <w:rPr>
          <w:rFonts w:hint="eastAsia" w:ascii="宋体" w:hAnsi="宋体" w:eastAsia="宋体" w:cs="宋体"/>
          <w:spacing w:val="0"/>
          <w:sz w:val="28"/>
          <w:szCs w:val="28"/>
        </w:rPr>
        <w:t>开采方案》评审专家组人员名单</w:t>
      </w:r>
    </w:p>
    <w:p w14:paraId="03C30AF1">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both"/>
        <w:textAlignment w:val="auto"/>
        <w:rPr>
          <w:rFonts w:hint="eastAsia" w:ascii="宋体" w:hAnsi="宋体" w:eastAsia="宋体"/>
          <w:color w:val="auto"/>
          <w:spacing w:val="0"/>
          <w:sz w:val="28"/>
          <w:szCs w:val="28"/>
          <w:highlight w:val="none"/>
        </w:rPr>
      </w:pPr>
    </w:p>
    <w:p w14:paraId="19E381D9">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center"/>
        <w:textAlignment w:val="auto"/>
        <w:rPr>
          <w:rFonts w:hint="eastAsia" w:ascii="宋体" w:hAnsi="宋体" w:eastAsia="宋体" w:cs="宋体"/>
          <w:bCs/>
          <w:color w:val="auto"/>
          <w:spacing w:val="0"/>
          <w:w w:val="100"/>
          <w:sz w:val="28"/>
          <w:szCs w:val="28"/>
          <w:highlight w:val="none"/>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鄂尔多斯市地质调查监测院</w:t>
      </w:r>
    </w:p>
    <w:p w14:paraId="27808029">
      <w:pPr>
        <w:keepNext w:val="0"/>
        <w:keepLines w:val="0"/>
        <w:pageBreakBefore w:val="0"/>
        <w:widowControl w:val="0"/>
        <w:kinsoku/>
        <w:wordWrap/>
        <w:overflowPunct/>
        <w:topLinePunct w:val="0"/>
        <w:autoSpaceDE/>
        <w:autoSpaceDN/>
        <w:bidi w:val="0"/>
        <w:adjustRightInd/>
        <w:snapToGrid/>
        <w:spacing w:line="554" w:lineRule="exact"/>
        <w:ind w:left="0" w:leftChars="0" w:right="0" w:firstLine="560" w:firstLineChars="200"/>
        <w:jc w:val="center"/>
        <w:textAlignment w:val="auto"/>
        <w:rPr>
          <w:rFonts w:hint="eastAsia" w:ascii="宋体" w:hAnsi="宋体" w:eastAsia="宋体" w:cs="宋体"/>
          <w:bCs/>
          <w:color w:val="auto"/>
          <w:spacing w:val="0"/>
          <w:w w:val="100"/>
          <w:sz w:val="28"/>
          <w:szCs w:val="28"/>
          <w:highlight w:val="none"/>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202</w:t>
      </w:r>
      <w:r>
        <w:rPr>
          <w:rFonts w:hint="eastAsia" w:ascii="宋体" w:hAnsi="宋体" w:eastAsia="宋体" w:cs="宋体"/>
          <w:bCs/>
          <w:color w:val="auto"/>
          <w:spacing w:val="0"/>
          <w:w w:val="100"/>
          <w:sz w:val="28"/>
          <w:szCs w:val="28"/>
          <w:highlight w:val="none"/>
          <w:lang w:val="en-US" w:eastAsia="zh-CN"/>
        </w:rPr>
        <w:t>5</w:t>
      </w:r>
      <w:r>
        <w:rPr>
          <w:rFonts w:hint="eastAsia" w:ascii="宋体" w:hAnsi="宋体" w:eastAsia="宋体" w:cs="宋体"/>
          <w:bCs/>
          <w:color w:val="auto"/>
          <w:spacing w:val="0"/>
          <w:w w:val="100"/>
          <w:sz w:val="28"/>
          <w:szCs w:val="28"/>
          <w:highlight w:val="none"/>
        </w:rPr>
        <w:t>年</w:t>
      </w:r>
      <w:r>
        <w:rPr>
          <w:rFonts w:hint="eastAsia" w:ascii="宋体" w:hAnsi="宋体" w:eastAsia="宋体" w:cs="宋体"/>
          <w:bCs/>
          <w:color w:val="auto"/>
          <w:spacing w:val="0"/>
          <w:w w:val="100"/>
          <w:sz w:val="28"/>
          <w:szCs w:val="28"/>
          <w:highlight w:val="none"/>
          <w:lang w:val="en-US" w:eastAsia="zh-CN"/>
        </w:rPr>
        <w:t>10</w:t>
      </w:r>
      <w:r>
        <w:rPr>
          <w:rFonts w:hint="eastAsia" w:ascii="宋体" w:hAnsi="宋体" w:eastAsia="宋体" w:cs="宋体"/>
          <w:bCs/>
          <w:color w:val="auto"/>
          <w:spacing w:val="0"/>
          <w:w w:val="100"/>
          <w:sz w:val="28"/>
          <w:szCs w:val="28"/>
          <w:highlight w:val="none"/>
        </w:rPr>
        <w:t>月</w:t>
      </w:r>
      <w:r>
        <w:rPr>
          <w:rFonts w:hint="eastAsia" w:ascii="宋体" w:hAnsi="宋体" w:eastAsia="宋体" w:cs="宋体"/>
          <w:bCs/>
          <w:color w:val="auto"/>
          <w:spacing w:val="0"/>
          <w:w w:val="100"/>
          <w:sz w:val="28"/>
          <w:szCs w:val="28"/>
          <w:highlight w:val="none"/>
          <w:lang w:val="en-US" w:eastAsia="zh-CN"/>
        </w:rPr>
        <w:t>23</w:t>
      </w:r>
      <w:r>
        <w:rPr>
          <w:rFonts w:hint="eastAsia" w:ascii="宋体" w:hAnsi="宋体" w:eastAsia="宋体" w:cs="宋体"/>
          <w:bCs/>
          <w:color w:val="auto"/>
          <w:spacing w:val="0"/>
          <w:w w:val="100"/>
          <w:sz w:val="28"/>
          <w:szCs w:val="28"/>
          <w:highlight w:val="none"/>
        </w:rPr>
        <w:t>日</w:t>
      </w:r>
    </w:p>
    <w:p w14:paraId="61479650">
      <w:pPr>
        <w:pStyle w:val="2"/>
        <w:rPr>
          <w:rFonts w:hint="eastAsia" w:ascii="宋体" w:hAnsi="宋体" w:eastAsia="宋体" w:cs="宋体"/>
          <w:color w:val="000000"/>
          <w:spacing w:val="0"/>
          <w:sz w:val="28"/>
          <w:szCs w:val="28"/>
          <w:lang w:val="en-US" w:eastAsia="zh-CN"/>
        </w:rPr>
      </w:pPr>
    </w:p>
    <w:p w14:paraId="5445B286">
      <w:pPr>
        <w:pStyle w:val="2"/>
        <w:rPr>
          <w:rFonts w:hint="eastAsia"/>
          <w:lang w:val="en-US" w:eastAsia="zh-CN"/>
        </w:rPr>
        <w:sectPr>
          <w:footerReference r:id="rId4" w:type="default"/>
          <w:pgSz w:w="11906" w:h="16838"/>
          <w:pgMar w:top="2098" w:right="1474" w:bottom="1984" w:left="1587" w:header="851" w:footer="992" w:gutter="0"/>
          <w:pgNumType w:fmt="decimal" w:start="1"/>
          <w:cols w:space="720" w:num="1"/>
          <w:rtlGutter w:val="0"/>
          <w:docGrid w:type="lines" w:linePitch="312" w:charSpace="0"/>
        </w:sectPr>
      </w:pPr>
      <w:bookmarkStart w:id="2" w:name="_GoBack"/>
      <w:bookmarkEnd w:id="2"/>
    </w:p>
    <w:p w14:paraId="68B6F52D">
      <w:pPr>
        <w:rPr>
          <w:rFonts w:hint="eastAsia"/>
        </w:rPr>
      </w:pPr>
    </w:p>
    <w:sectPr>
      <w:footerReference r:id="rId6" w:type="first"/>
      <w:footerReference r:id="rId5" w:type="default"/>
      <w:pgSz w:w="11906" w:h="16838"/>
      <w:pgMar w:top="2098" w:right="1474" w:bottom="1984" w:left="1588" w:header="720" w:footer="720"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8D4E1">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87CB3">
    <w:pPr>
      <w:pStyle w:val="9"/>
    </w:pPr>
    <w:r>
      <w:rPr>
        <w:sz w:val="18"/>
      </w:rPr>
      <w:pict>
        <v:shape id="_x0000_s4100" o:spid="_x0000_s410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F34E9EA">
                <w:pPr>
                  <w:pStyle w:val="9"/>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AB0DA">
    <w:pPr>
      <w:pStyle w:val="9"/>
    </w:pPr>
    <w:r>
      <w:rPr>
        <w:sz w:val="18"/>
      </w:rP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73E57745">
                <w:pPr>
                  <w:pStyle w:val="9"/>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C1CFE">
    <w:pPr>
      <w:pStyle w:val="9"/>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4AA49E2">
                <w:pPr>
                  <w:pStyle w:val="9"/>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C30662"/>
    <w:multiLevelType w:val="singleLevel"/>
    <w:tmpl w:val="86C30662"/>
    <w:lvl w:ilvl="0" w:tentative="0">
      <w:start w:val="1"/>
      <w:numFmt w:val="decimal"/>
      <w:suff w:val="nothing"/>
      <w:lvlText w:val="%1．"/>
      <w:lvlJc w:val="left"/>
      <w:pPr>
        <w:ind w:left="0" w:firstLine="400"/>
      </w:pPr>
      <w:rPr>
        <w:rFonts w:hint="default"/>
      </w:rPr>
    </w:lvl>
  </w:abstractNum>
  <w:abstractNum w:abstractNumId="1">
    <w:nsid w:val="AE87F21D"/>
    <w:multiLevelType w:val="singleLevel"/>
    <w:tmpl w:val="AE87F21D"/>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2NjODdkOGY4OTVjNGM3NjM2ODI4MjhjYjVmNjhjNjgifQ=="/>
  </w:docVars>
  <w:rsids>
    <w:rsidRoot w:val="01FA783D"/>
    <w:rsid w:val="00005A7A"/>
    <w:rsid w:val="0005152E"/>
    <w:rsid w:val="00066FB9"/>
    <w:rsid w:val="00070AC6"/>
    <w:rsid w:val="00080DF4"/>
    <w:rsid w:val="0008374F"/>
    <w:rsid w:val="00084617"/>
    <w:rsid w:val="000A0EA6"/>
    <w:rsid w:val="000C35C4"/>
    <w:rsid w:val="000D752C"/>
    <w:rsid w:val="000E2A7F"/>
    <w:rsid w:val="000F3CD8"/>
    <w:rsid w:val="00102095"/>
    <w:rsid w:val="00136707"/>
    <w:rsid w:val="0016129B"/>
    <w:rsid w:val="001654F8"/>
    <w:rsid w:val="001741D6"/>
    <w:rsid w:val="00195252"/>
    <w:rsid w:val="001B772D"/>
    <w:rsid w:val="001C065F"/>
    <w:rsid w:val="001C2E97"/>
    <w:rsid w:val="001D1EE7"/>
    <w:rsid w:val="001D2532"/>
    <w:rsid w:val="001D610B"/>
    <w:rsid w:val="00245687"/>
    <w:rsid w:val="0028195F"/>
    <w:rsid w:val="002A73E8"/>
    <w:rsid w:val="002F4319"/>
    <w:rsid w:val="003829C2"/>
    <w:rsid w:val="003908BE"/>
    <w:rsid w:val="003935DF"/>
    <w:rsid w:val="003A1441"/>
    <w:rsid w:val="003B4077"/>
    <w:rsid w:val="003E68E1"/>
    <w:rsid w:val="00402B78"/>
    <w:rsid w:val="00432137"/>
    <w:rsid w:val="00445C0B"/>
    <w:rsid w:val="0046552D"/>
    <w:rsid w:val="0048450F"/>
    <w:rsid w:val="004A2DAF"/>
    <w:rsid w:val="004A6648"/>
    <w:rsid w:val="004A74E4"/>
    <w:rsid w:val="004D0A7A"/>
    <w:rsid w:val="00512600"/>
    <w:rsid w:val="00523849"/>
    <w:rsid w:val="00545B2A"/>
    <w:rsid w:val="005949B1"/>
    <w:rsid w:val="005C55CD"/>
    <w:rsid w:val="00624F02"/>
    <w:rsid w:val="00642FB4"/>
    <w:rsid w:val="00651972"/>
    <w:rsid w:val="00655CC5"/>
    <w:rsid w:val="006A1280"/>
    <w:rsid w:val="006B1B00"/>
    <w:rsid w:val="006B7756"/>
    <w:rsid w:val="006E12AE"/>
    <w:rsid w:val="006E69EE"/>
    <w:rsid w:val="006F17DE"/>
    <w:rsid w:val="006F345A"/>
    <w:rsid w:val="00707D82"/>
    <w:rsid w:val="00731A41"/>
    <w:rsid w:val="00781519"/>
    <w:rsid w:val="007A0683"/>
    <w:rsid w:val="007A6D16"/>
    <w:rsid w:val="007C022E"/>
    <w:rsid w:val="007D09C1"/>
    <w:rsid w:val="007F05DB"/>
    <w:rsid w:val="007F6D3B"/>
    <w:rsid w:val="008160EC"/>
    <w:rsid w:val="0082470E"/>
    <w:rsid w:val="00824866"/>
    <w:rsid w:val="008438A7"/>
    <w:rsid w:val="00865831"/>
    <w:rsid w:val="00880516"/>
    <w:rsid w:val="00890FEA"/>
    <w:rsid w:val="008A72F4"/>
    <w:rsid w:val="008B0C09"/>
    <w:rsid w:val="008B609F"/>
    <w:rsid w:val="008C7149"/>
    <w:rsid w:val="008D654F"/>
    <w:rsid w:val="008E13EA"/>
    <w:rsid w:val="008F18FB"/>
    <w:rsid w:val="008F73B0"/>
    <w:rsid w:val="00923B91"/>
    <w:rsid w:val="0093033B"/>
    <w:rsid w:val="00942D28"/>
    <w:rsid w:val="00987A50"/>
    <w:rsid w:val="009A6303"/>
    <w:rsid w:val="009B10AA"/>
    <w:rsid w:val="009E3846"/>
    <w:rsid w:val="009F5F1F"/>
    <w:rsid w:val="00A03D8F"/>
    <w:rsid w:val="00A43429"/>
    <w:rsid w:val="00A50D52"/>
    <w:rsid w:val="00AA7C8A"/>
    <w:rsid w:val="00AC38D4"/>
    <w:rsid w:val="00AD3306"/>
    <w:rsid w:val="00AE7254"/>
    <w:rsid w:val="00B2683A"/>
    <w:rsid w:val="00B37A56"/>
    <w:rsid w:val="00B40A94"/>
    <w:rsid w:val="00B44EEA"/>
    <w:rsid w:val="00B47108"/>
    <w:rsid w:val="00B51119"/>
    <w:rsid w:val="00B6366B"/>
    <w:rsid w:val="00B777F3"/>
    <w:rsid w:val="00B80A10"/>
    <w:rsid w:val="00B95FA8"/>
    <w:rsid w:val="00BC02E9"/>
    <w:rsid w:val="00BC4660"/>
    <w:rsid w:val="00BC7C9C"/>
    <w:rsid w:val="00BF5F3D"/>
    <w:rsid w:val="00C16E9B"/>
    <w:rsid w:val="00C208DD"/>
    <w:rsid w:val="00C278B6"/>
    <w:rsid w:val="00C61A35"/>
    <w:rsid w:val="00C80038"/>
    <w:rsid w:val="00C90D19"/>
    <w:rsid w:val="00CA53BA"/>
    <w:rsid w:val="00CB1B87"/>
    <w:rsid w:val="00CB534B"/>
    <w:rsid w:val="00CE09C8"/>
    <w:rsid w:val="00D05295"/>
    <w:rsid w:val="00D32E4D"/>
    <w:rsid w:val="00D71A18"/>
    <w:rsid w:val="00D86B04"/>
    <w:rsid w:val="00D91DAF"/>
    <w:rsid w:val="00D944E1"/>
    <w:rsid w:val="00D9563D"/>
    <w:rsid w:val="00DA377E"/>
    <w:rsid w:val="00DB62F5"/>
    <w:rsid w:val="00DE4913"/>
    <w:rsid w:val="00E05EE8"/>
    <w:rsid w:val="00E1786C"/>
    <w:rsid w:val="00E36297"/>
    <w:rsid w:val="00E63317"/>
    <w:rsid w:val="00E66C2A"/>
    <w:rsid w:val="00E74497"/>
    <w:rsid w:val="00E75D25"/>
    <w:rsid w:val="00E86F6C"/>
    <w:rsid w:val="00E93AB9"/>
    <w:rsid w:val="00EA4B1A"/>
    <w:rsid w:val="00ED088A"/>
    <w:rsid w:val="00F04EEE"/>
    <w:rsid w:val="00F14502"/>
    <w:rsid w:val="00F25483"/>
    <w:rsid w:val="00F33DFE"/>
    <w:rsid w:val="00F3551C"/>
    <w:rsid w:val="00F40829"/>
    <w:rsid w:val="00F64637"/>
    <w:rsid w:val="00F93902"/>
    <w:rsid w:val="00FB0D13"/>
    <w:rsid w:val="00FC390F"/>
    <w:rsid w:val="00FF02AD"/>
    <w:rsid w:val="00FF51A3"/>
    <w:rsid w:val="01E90844"/>
    <w:rsid w:val="01FA783D"/>
    <w:rsid w:val="02671768"/>
    <w:rsid w:val="02FB6266"/>
    <w:rsid w:val="032941EB"/>
    <w:rsid w:val="0446138B"/>
    <w:rsid w:val="047563BF"/>
    <w:rsid w:val="06E700B5"/>
    <w:rsid w:val="06EF57A4"/>
    <w:rsid w:val="084648A5"/>
    <w:rsid w:val="093628B1"/>
    <w:rsid w:val="0A36249A"/>
    <w:rsid w:val="0A5A111D"/>
    <w:rsid w:val="0CC2416B"/>
    <w:rsid w:val="0D8F56A2"/>
    <w:rsid w:val="0DA443B3"/>
    <w:rsid w:val="0F3D3F7D"/>
    <w:rsid w:val="110034B4"/>
    <w:rsid w:val="111D5D5A"/>
    <w:rsid w:val="118E6D12"/>
    <w:rsid w:val="123C051C"/>
    <w:rsid w:val="134B5351"/>
    <w:rsid w:val="14AE3227"/>
    <w:rsid w:val="160C28FB"/>
    <w:rsid w:val="17AC7793"/>
    <w:rsid w:val="18A05B5E"/>
    <w:rsid w:val="196B7938"/>
    <w:rsid w:val="1AEB0D31"/>
    <w:rsid w:val="1FE833F8"/>
    <w:rsid w:val="24D16D9F"/>
    <w:rsid w:val="252E63EA"/>
    <w:rsid w:val="26230386"/>
    <w:rsid w:val="26540B17"/>
    <w:rsid w:val="275D682C"/>
    <w:rsid w:val="296636EE"/>
    <w:rsid w:val="29780591"/>
    <w:rsid w:val="2D142369"/>
    <w:rsid w:val="332C09CB"/>
    <w:rsid w:val="34D83C7C"/>
    <w:rsid w:val="367A7E9D"/>
    <w:rsid w:val="37AB1EF5"/>
    <w:rsid w:val="3A8723CC"/>
    <w:rsid w:val="3D681CA6"/>
    <w:rsid w:val="3F80388E"/>
    <w:rsid w:val="41ED35C2"/>
    <w:rsid w:val="420A743F"/>
    <w:rsid w:val="426E3E72"/>
    <w:rsid w:val="445A4C8E"/>
    <w:rsid w:val="445F4F03"/>
    <w:rsid w:val="44D91186"/>
    <w:rsid w:val="45A04342"/>
    <w:rsid w:val="474C6172"/>
    <w:rsid w:val="477A6E15"/>
    <w:rsid w:val="48F22448"/>
    <w:rsid w:val="493059DD"/>
    <w:rsid w:val="4AA743C5"/>
    <w:rsid w:val="4B7A73E4"/>
    <w:rsid w:val="4BAB1C93"/>
    <w:rsid w:val="4BF65BC2"/>
    <w:rsid w:val="4D0A4797"/>
    <w:rsid w:val="4D482874"/>
    <w:rsid w:val="4FF95592"/>
    <w:rsid w:val="50255D24"/>
    <w:rsid w:val="50F43D91"/>
    <w:rsid w:val="514566E6"/>
    <w:rsid w:val="51BF4278"/>
    <w:rsid w:val="51E141B5"/>
    <w:rsid w:val="53CC09F8"/>
    <w:rsid w:val="56A47A0A"/>
    <w:rsid w:val="56C75911"/>
    <w:rsid w:val="58F5454D"/>
    <w:rsid w:val="5A9A1850"/>
    <w:rsid w:val="5C2E1E27"/>
    <w:rsid w:val="5C34359C"/>
    <w:rsid w:val="5E6F4DA2"/>
    <w:rsid w:val="5F4C2626"/>
    <w:rsid w:val="63142DEC"/>
    <w:rsid w:val="63473BF7"/>
    <w:rsid w:val="63A5053C"/>
    <w:rsid w:val="6469226D"/>
    <w:rsid w:val="64A57F40"/>
    <w:rsid w:val="65846A75"/>
    <w:rsid w:val="66183441"/>
    <w:rsid w:val="6695111E"/>
    <w:rsid w:val="67F6451F"/>
    <w:rsid w:val="68A45648"/>
    <w:rsid w:val="690C1B6B"/>
    <w:rsid w:val="69717C20"/>
    <w:rsid w:val="698E07D2"/>
    <w:rsid w:val="69C2774F"/>
    <w:rsid w:val="6B0654A6"/>
    <w:rsid w:val="6BD02A5F"/>
    <w:rsid w:val="6C865790"/>
    <w:rsid w:val="6EC27EAD"/>
    <w:rsid w:val="6FEF1405"/>
    <w:rsid w:val="704975FE"/>
    <w:rsid w:val="710E5D1A"/>
    <w:rsid w:val="71801DFF"/>
    <w:rsid w:val="72035AD5"/>
    <w:rsid w:val="75BE41ED"/>
    <w:rsid w:val="77506BDA"/>
    <w:rsid w:val="77BF424C"/>
    <w:rsid w:val="7A8A65AA"/>
    <w:rsid w:val="7B0F1047"/>
    <w:rsid w:val="7BE871EE"/>
    <w:rsid w:val="7C224DAA"/>
    <w:rsid w:val="7C635272"/>
    <w:rsid w:val="7CB225D2"/>
    <w:rsid w:val="7F5F65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style>
  <w:style w:type="paragraph" w:styleId="3">
    <w:name w:val="annotation text"/>
    <w:basedOn w:val="1"/>
    <w:semiHidden/>
    <w:unhideWhenUsed/>
    <w:qFormat/>
    <w:uiPriority w:val="99"/>
    <w:pPr>
      <w:jc w:val="left"/>
    </w:pPr>
  </w:style>
  <w:style w:type="paragraph" w:styleId="4">
    <w:name w:val="Body Text Indent"/>
    <w:basedOn w:val="1"/>
    <w:next w:val="1"/>
    <w:link w:val="24"/>
    <w:qFormat/>
    <w:uiPriority w:val="0"/>
    <w:pPr>
      <w:spacing w:after="120"/>
      <w:ind w:left="420" w:leftChars="200"/>
    </w:pPr>
  </w:style>
  <w:style w:type="paragraph" w:styleId="5">
    <w:name w:val="Date"/>
    <w:basedOn w:val="1"/>
    <w:next w:val="1"/>
    <w:link w:val="22"/>
    <w:qFormat/>
    <w:uiPriority w:val="0"/>
    <w:pPr>
      <w:ind w:left="100" w:leftChars="2500"/>
    </w:pPr>
  </w:style>
  <w:style w:type="paragraph" w:styleId="6">
    <w:name w:val="Body Text Indent 2"/>
    <w:basedOn w:val="1"/>
    <w:link w:val="18"/>
    <w:unhideWhenUsed/>
    <w:qFormat/>
    <w:uiPriority w:val="99"/>
    <w:pPr>
      <w:spacing w:after="120" w:line="480" w:lineRule="auto"/>
      <w:ind w:left="420" w:leftChars="200" w:right="100" w:rightChars="100"/>
    </w:pPr>
    <w:rPr>
      <w:rFonts w:ascii="Times New Roman" w:hAnsi="Times New Roman" w:eastAsia="宋体" w:cs="Times New Roman"/>
      <w:szCs w:val="24"/>
    </w:rPr>
  </w:style>
  <w:style w:type="paragraph" w:styleId="7">
    <w:name w:val="endnote text"/>
    <w:basedOn w:val="1"/>
    <w:qFormat/>
    <w:uiPriority w:val="0"/>
    <w:pPr>
      <w:snapToGrid w:val="0"/>
      <w:jc w:val="left"/>
    </w:pPr>
    <w:rPr>
      <w:sz w:val="21"/>
    </w:rPr>
  </w:style>
  <w:style w:type="paragraph" w:styleId="8">
    <w:name w:val="Balloon Text"/>
    <w:basedOn w:val="1"/>
    <w:link w:val="23"/>
    <w:qFormat/>
    <w:uiPriority w:val="0"/>
    <w:rPr>
      <w:sz w:val="18"/>
      <w:szCs w:val="18"/>
    </w:rPr>
  </w:style>
  <w:style w:type="paragraph" w:styleId="9">
    <w:name w:val="footer"/>
    <w:basedOn w:val="1"/>
    <w:link w:val="15"/>
    <w:qFormat/>
    <w:uiPriority w:val="99"/>
    <w:pPr>
      <w:tabs>
        <w:tab w:val="center" w:pos="4153"/>
        <w:tab w:val="right" w:pos="8306"/>
      </w:tabs>
      <w:snapToGrid w:val="0"/>
      <w:jc w:val="left"/>
    </w:pPr>
    <w:rPr>
      <w:sz w:val="18"/>
      <w:szCs w:val="18"/>
    </w:rPr>
  </w:style>
  <w:style w:type="paragraph" w:styleId="10">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1"/>
    <w:next w:val="4"/>
    <w:link w:val="25"/>
    <w:qFormat/>
    <w:uiPriority w:val="0"/>
    <w:pPr>
      <w:ind w:firstLine="420" w:firstLineChars="200"/>
    </w:pPr>
  </w:style>
  <w:style w:type="character" w:styleId="14">
    <w:name w:val="annotation reference"/>
    <w:basedOn w:val="13"/>
    <w:semiHidden/>
    <w:unhideWhenUsed/>
    <w:qFormat/>
    <w:uiPriority w:val="99"/>
    <w:rPr>
      <w:sz w:val="21"/>
      <w:szCs w:val="21"/>
    </w:rPr>
  </w:style>
  <w:style w:type="character" w:customStyle="1" w:styleId="15">
    <w:name w:val="页脚 Char"/>
    <w:basedOn w:val="13"/>
    <w:link w:val="9"/>
    <w:qFormat/>
    <w:uiPriority w:val="99"/>
    <w:rPr>
      <w:kern w:val="2"/>
      <w:sz w:val="18"/>
      <w:szCs w:val="18"/>
    </w:rPr>
  </w:style>
  <w:style w:type="paragraph" w:customStyle="1" w:styleId="16">
    <w:name w:val="样式1"/>
    <w:basedOn w:val="1"/>
    <w:link w:val="17"/>
    <w:qFormat/>
    <w:uiPriority w:val="0"/>
    <w:pPr>
      <w:spacing w:line="520" w:lineRule="exact"/>
      <w:ind w:firstLine="560" w:firstLineChars="200"/>
    </w:pPr>
    <w:rPr>
      <w:rFonts w:ascii="仿宋_GB2312" w:hAnsi="宋体" w:eastAsia="仿宋_GB2312"/>
      <w:sz w:val="28"/>
      <w:szCs w:val="28"/>
    </w:rPr>
  </w:style>
  <w:style w:type="character" w:customStyle="1" w:styleId="17">
    <w:name w:val="样式1 Char"/>
    <w:basedOn w:val="13"/>
    <w:link w:val="16"/>
    <w:qFormat/>
    <w:uiPriority w:val="0"/>
    <w:rPr>
      <w:rFonts w:ascii="仿宋_GB2312" w:hAnsi="宋体" w:eastAsia="仿宋_GB2312"/>
      <w:kern w:val="2"/>
      <w:sz w:val="28"/>
      <w:szCs w:val="28"/>
    </w:rPr>
  </w:style>
  <w:style w:type="character" w:customStyle="1" w:styleId="18">
    <w:name w:val="正文文本缩进 2 Char"/>
    <w:basedOn w:val="13"/>
    <w:link w:val="6"/>
    <w:qFormat/>
    <w:uiPriority w:val="99"/>
    <w:rPr>
      <w:rFonts w:ascii="Times New Roman" w:hAnsi="Times New Roman" w:eastAsia="宋体" w:cs="Times New Roman"/>
      <w:kern w:val="2"/>
      <w:sz w:val="21"/>
      <w:szCs w:val="24"/>
    </w:rPr>
  </w:style>
  <w:style w:type="paragraph" w:customStyle="1" w:styleId="19">
    <w:name w:val="样式3"/>
    <w:basedOn w:val="1"/>
    <w:link w:val="20"/>
    <w:qFormat/>
    <w:uiPriority w:val="0"/>
    <w:pPr>
      <w:adjustRightInd w:val="0"/>
      <w:snapToGrid w:val="0"/>
      <w:spacing w:line="540" w:lineRule="exact"/>
      <w:ind w:firstLine="560" w:firstLineChars="200"/>
    </w:pPr>
    <w:rPr>
      <w:rFonts w:ascii="仿宋" w:hAnsi="仿宋" w:eastAsia="仿宋" w:cs="仿宋"/>
      <w:sz w:val="28"/>
      <w:szCs w:val="28"/>
    </w:rPr>
  </w:style>
  <w:style w:type="character" w:customStyle="1" w:styleId="20">
    <w:name w:val="样式3 Char"/>
    <w:basedOn w:val="13"/>
    <w:link w:val="19"/>
    <w:qFormat/>
    <w:uiPriority w:val="0"/>
    <w:rPr>
      <w:rFonts w:ascii="仿宋" w:hAnsi="仿宋" w:eastAsia="仿宋" w:cs="仿宋"/>
      <w:kern w:val="2"/>
      <w:sz w:val="28"/>
      <w:szCs w:val="28"/>
    </w:rPr>
  </w:style>
  <w:style w:type="character" w:customStyle="1" w:styleId="21">
    <w:name w:val="页眉 Char"/>
    <w:basedOn w:val="13"/>
    <w:link w:val="10"/>
    <w:qFormat/>
    <w:uiPriority w:val="0"/>
    <w:rPr>
      <w:kern w:val="2"/>
      <w:sz w:val="18"/>
      <w:szCs w:val="18"/>
    </w:rPr>
  </w:style>
  <w:style w:type="character" w:customStyle="1" w:styleId="22">
    <w:name w:val="日期 Char"/>
    <w:basedOn w:val="13"/>
    <w:link w:val="5"/>
    <w:qFormat/>
    <w:uiPriority w:val="0"/>
    <w:rPr>
      <w:kern w:val="2"/>
      <w:sz w:val="21"/>
      <w:szCs w:val="22"/>
    </w:rPr>
  </w:style>
  <w:style w:type="character" w:customStyle="1" w:styleId="23">
    <w:name w:val="批注框文本 Char"/>
    <w:basedOn w:val="13"/>
    <w:link w:val="8"/>
    <w:qFormat/>
    <w:uiPriority w:val="0"/>
    <w:rPr>
      <w:kern w:val="2"/>
      <w:sz w:val="18"/>
      <w:szCs w:val="18"/>
    </w:rPr>
  </w:style>
  <w:style w:type="character" w:customStyle="1" w:styleId="24">
    <w:name w:val="正文文本缩进 Char"/>
    <w:basedOn w:val="13"/>
    <w:link w:val="4"/>
    <w:qFormat/>
    <w:uiPriority w:val="0"/>
    <w:rPr>
      <w:kern w:val="2"/>
      <w:sz w:val="21"/>
      <w:szCs w:val="22"/>
    </w:rPr>
  </w:style>
  <w:style w:type="character" w:customStyle="1" w:styleId="25">
    <w:name w:val="正文首行缩进 2 Char"/>
    <w:basedOn w:val="24"/>
    <w:link w:val="11"/>
    <w:qFormat/>
    <w:uiPriority w:val="0"/>
    <w:rPr>
      <w:kern w:val="2"/>
      <w:sz w:val="21"/>
      <w:szCs w:val="22"/>
    </w:rPr>
  </w:style>
  <w:style w:type="paragraph" w:customStyle="1" w:styleId="2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7">
    <w:name w:val="font41"/>
    <w:basedOn w:val="13"/>
    <w:qFormat/>
    <w:uiPriority w:val="0"/>
    <w:rPr>
      <w:rFonts w:hint="default" w:ascii="Times New Roman" w:hAnsi="Times New Roman" w:cs="Times New Roman"/>
      <w:color w:val="000000"/>
      <w:sz w:val="28"/>
      <w:szCs w:val="28"/>
      <w:u w:val="none"/>
      <w:vertAlign w:val="subscript"/>
    </w:rPr>
  </w:style>
  <w:style w:type="paragraph" w:customStyle="1" w:styleId="28">
    <w:name w:val=" Char Char8 Char Char Char Char Char Char Char Char"/>
    <w:basedOn w:val="1"/>
    <w:qFormat/>
    <w:uiPriority w:val="0"/>
  </w:style>
  <w:style w:type="character" w:customStyle="1" w:styleId="29">
    <w:name w:val="font01"/>
    <w:basedOn w:val="13"/>
    <w:qFormat/>
    <w:uiPriority w:val="0"/>
    <w:rPr>
      <w:rFonts w:hint="eastAsia" w:ascii="宋体" w:hAnsi="宋体" w:eastAsia="宋体" w:cs="宋体"/>
      <w:color w:val="000000"/>
      <w:sz w:val="20"/>
      <w:szCs w:val="20"/>
      <w:u w:val="none"/>
    </w:rPr>
  </w:style>
  <w:style w:type="table" w:customStyle="1" w:styleId="30">
    <w:name w:val="Table Normal"/>
    <w:unhideWhenUsed/>
    <w:qFormat/>
    <w:uiPriority w:val="0"/>
    <w:rPr>
      <w:rFonts w:ascii="Arial" w:hAnsi="Arial" w:cs="Arial"/>
      <w:kern w:val="0"/>
      <w:sz w:val="20"/>
      <w:szCs w:val="20"/>
    </w:rPr>
    <w:tblPr>
      <w:tblCellMar>
        <w:top w:w="0" w:type="dxa"/>
        <w:left w:w="0" w:type="dxa"/>
        <w:bottom w:w="0" w:type="dxa"/>
        <w:right w:w="0" w:type="dxa"/>
      </w:tblCellMar>
    </w:tblPr>
  </w:style>
  <w:style w:type="paragraph" w:customStyle="1" w:styleId="31">
    <w:name w:val="Other|1"/>
    <w:basedOn w:val="1"/>
    <w:qFormat/>
    <w:uiPriority w:val="0"/>
    <w:pPr>
      <w:widowControl w:val="0"/>
      <w:shd w:val="clear" w:color="auto" w:fill="auto"/>
      <w:jc w:val="center"/>
    </w:pPr>
    <w:rPr>
      <w:rFonts w:ascii="宋体" w:hAnsi="宋体" w:eastAsia="宋体" w:cs="宋体"/>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7EDCC"/>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0" textRotate="1"/>
    <customShpInfo spid="_x0000_s4101" textRotate="1"/>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1868</Words>
  <Characters>2173</Characters>
  <Lines>19</Lines>
  <Paragraphs>5</Paragraphs>
  <TotalTime>0</TotalTime>
  <ScaleCrop>false</ScaleCrop>
  <LinksUpToDate>false</LinksUpToDate>
  <CharactersWithSpaces>2257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2025-05-21T08:54:00Z</dcterms:created>
  <dc:creator>Administrator</dc:creator>
  <cp:lastModifiedBy>Roger1393936739</cp:lastModifiedBy>
  <cp:lastPrinted>2025-08-14T06:56:00Z</cp:lastPrinted>
  <dcterms:modified xsi:type="dcterms:W3CDTF">2025-10-28T02:33:16Z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25EAF36D25CF4C779275EC750BF422D7_11</vt:lpwstr>
  </property>
  <property fmtid="{D5CDD505-2E9C-101B-9397-08002B2CF9AE}" pid="4" name="KSOTemplateDocerSaveRecord">
    <vt:lpwstr>eyJoZGlkIjoiNTY0ZWJmN2NiN2VlZDA4OGVjZTAxODkxY2I3MjFkODQiLCJ1c2VySWQiOiIxMjA4NTQ2MyJ9</vt:lpwstr>
  </property>
</Properties>
</file>