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2B6F8">
      <w:pPr>
        <w:pStyle w:val="20"/>
        <w:ind w:left="0" w:leftChars="0" w:firstLine="0" w:firstLineChars="0"/>
        <w:jc w:val="left"/>
        <w:rPr>
          <w:rFonts w:hint="eastAsia"/>
          <w:color w:val="auto"/>
          <w:spacing w:val="0"/>
          <w:w w:val="100"/>
          <w:highlight w:val="none"/>
        </w:rPr>
      </w:pPr>
      <w:r>
        <w:rPr>
          <w:rFonts w:hint="eastAsia" w:ascii="黑体" w:hAnsi="黑体" w:eastAsia="黑体" w:cs="黑体"/>
          <w:color w:val="auto"/>
          <w:spacing w:val="0"/>
          <w:w w:val="100"/>
          <w:kern w:val="2"/>
          <w:sz w:val="32"/>
          <w:szCs w:val="32"/>
          <w:highlight w:val="none"/>
          <w:lang w:val="en-US" w:eastAsia="zh-CN" w:bidi="ar-SA"/>
        </w:rPr>
        <w:t>附件1</w:t>
      </w:r>
    </w:p>
    <w:p w14:paraId="4B738286">
      <w:pPr>
        <w:pStyle w:val="20"/>
        <w:ind w:left="0" w:leftChars="0" w:firstLine="0" w:firstLineChars="0"/>
        <w:jc w:val="both"/>
        <w:rPr>
          <w:rFonts w:hint="eastAsia"/>
          <w:color w:val="auto"/>
          <w:spacing w:val="0"/>
          <w:w w:val="100"/>
          <w:highlight w:val="none"/>
        </w:rPr>
      </w:pPr>
    </w:p>
    <w:p w14:paraId="1E48A7F2">
      <w:pPr>
        <w:pStyle w:val="20"/>
        <w:ind w:left="0" w:leftChars="0" w:firstLine="0" w:firstLineChars="0"/>
        <w:jc w:val="center"/>
        <w:rPr>
          <w:rFonts w:hint="eastAsia"/>
          <w:color w:val="auto"/>
          <w:spacing w:val="0"/>
          <w:w w:val="100"/>
          <w:highlight w:val="none"/>
        </w:rPr>
      </w:pPr>
    </w:p>
    <w:p w14:paraId="34690193">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7D48807D">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7C7548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《鄂托克旗金良化工有限责任公司石灰石矿</w:t>
      </w:r>
    </w:p>
    <w:p w14:paraId="016A30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开采方案》</w:t>
      </w:r>
    </w:p>
    <w:p w14:paraId="5DF0875C">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14:paraId="2CB584D1">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14:paraId="16FF0A7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黑体" w:hAnsi="黑体" w:eastAsia="黑体" w:cs="黑体"/>
          <w:bCs/>
          <w:color w:val="auto"/>
          <w:spacing w:val="0"/>
          <w:w w:val="100"/>
          <w:sz w:val="52"/>
          <w:szCs w:val="52"/>
          <w:highlight w:val="none"/>
        </w:rPr>
      </w:pPr>
      <w:r>
        <w:rPr>
          <w:rFonts w:hint="eastAsia" w:ascii="黑体" w:hAnsi="黑体" w:eastAsia="黑体" w:cs="黑体"/>
          <w:bCs/>
          <w:color w:val="auto"/>
          <w:spacing w:val="0"/>
          <w:w w:val="100"/>
          <w:sz w:val="52"/>
          <w:szCs w:val="52"/>
          <w:highlight w:val="none"/>
          <w:lang w:eastAsia="zh-CN"/>
        </w:rPr>
        <w:t>评</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lang w:eastAsia="zh-CN"/>
        </w:rPr>
        <w:t>审</w:t>
      </w:r>
      <w:r>
        <w:rPr>
          <w:rFonts w:hint="eastAsia" w:ascii="黑体" w:hAnsi="黑体" w:eastAsia="黑体" w:cs="黑体"/>
          <w:bCs/>
          <w:color w:val="auto"/>
          <w:spacing w:val="0"/>
          <w:w w:val="100"/>
          <w:sz w:val="52"/>
          <w:szCs w:val="52"/>
          <w:highlight w:val="none"/>
        </w:rPr>
        <w:t xml:space="preserve">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意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见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书</w:t>
      </w:r>
    </w:p>
    <w:p w14:paraId="2916235C">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1921771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仿宋" w:hAnsi="仿宋" w:eastAsia="仿宋" w:cs="仿宋"/>
          <w:color w:val="auto"/>
          <w:spacing w:val="0"/>
          <w:w w:val="100"/>
          <w:sz w:val="32"/>
          <w:szCs w:val="32"/>
          <w:highlight w:val="none"/>
        </w:rPr>
      </w:pPr>
      <w:r>
        <w:rPr>
          <w:rFonts w:hint="eastAsia" w:ascii="仿宋" w:hAnsi="仿宋" w:eastAsia="仿宋" w:cs="仿宋"/>
          <w:color w:val="auto"/>
          <w:spacing w:val="0"/>
          <w:w w:val="100"/>
          <w:sz w:val="32"/>
          <w:szCs w:val="32"/>
          <w:highlight w:val="none"/>
        </w:rPr>
        <w:t>鄂矿审字〔202</w:t>
      </w:r>
      <w:r>
        <w:rPr>
          <w:rFonts w:hint="eastAsia" w:ascii="仿宋" w:hAnsi="仿宋" w:eastAsia="仿宋" w:cs="仿宋"/>
          <w:color w:val="auto"/>
          <w:spacing w:val="0"/>
          <w:w w:val="100"/>
          <w:sz w:val="32"/>
          <w:szCs w:val="32"/>
          <w:highlight w:val="none"/>
          <w:lang w:val="en-US" w:eastAsia="zh-CN"/>
        </w:rPr>
        <w:t>5</w:t>
      </w:r>
      <w:r>
        <w:rPr>
          <w:rFonts w:hint="eastAsia" w:ascii="仿宋" w:hAnsi="仿宋" w:eastAsia="仿宋" w:cs="仿宋"/>
          <w:color w:val="auto"/>
          <w:spacing w:val="0"/>
          <w:w w:val="100"/>
          <w:sz w:val="32"/>
          <w:szCs w:val="32"/>
          <w:highlight w:val="none"/>
        </w:rPr>
        <w:t>〕</w:t>
      </w:r>
      <w:r>
        <w:rPr>
          <w:rFonts w:hint="eastAsia" w:ascii="仿宋" w:hAnsi="仿宋" w:eastAsia="仿宋" w:cs="仿宋"/>
          <w:color w:val="auto"/>
          <w:spacing w:val="0"/>
          <w:w w:val="100"/>
          <w:sz w:val="32"/>
          <w:szCs w:val="32"/>
          <w:highlight w:val="none"/>
          <w:lang w:val="en-US" w:eastAsia="zh-CN"/>
        </w:rPr>
        <w:t>10</w:t>
      </w:r>
      <w:r>
        <w:rPr>
          <w:rFonts w:hint="eastAsia" w:ascii="仿宋" w:hAnsi="仿宋" w:eastAsia="仿宋" w:cs="仿宋"/>
          <w:color w:val="auto"/>
          <w:spacing w:val="0"/>
          <w:w w:val="100"/>
          <w:sz w:val="32"/>
          <w:szCs w:val="32"/>
          <w:highlight w:val="none"/>
        </w:rPr>
        <w:t>号</w:t>
      </w:r>
    </w:p>
    <w:p w14:paraId="0ABF61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5B19FD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72B231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1B65F7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673CAD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2CF2A0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7D730788">
      <w:pPr>
        <w:pStyle w:val="14"/>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01C79389">
      <w:pPr>
        <w:pStyle w:val="14"/>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6C6F1D05">
      <w:pPr>
        <w:pStyle w:val="14"/>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0EBDC940">
      <w:pPr>
        <w:pStyle w:val="14"/>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07C4F6E0">
      <w:pPr>
        <w:pStyle w:val="14"/>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5D7121A1">
      <w:pPr>
        <w:pStyle w:val="14"/>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29C6F05B">
      <w:pPr>
        <w:pStyle w:val="14"/>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63CA8C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6C4BEA1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鄂尔多斯市地质调查监测院</w:t>
      </w:r>
    </w:p>
    <w:p w14:paraId="771DAA20">
      <w:pPr>
        <w:pStyle w:val="20"/>
        <w:jc w:val="center"/>
        <w:rPr>
          <w:rFonts w:hint="eastAsia"/>
          <w:color w:val="auto"/>
          <w:spacing w:val="0"/>
          <w:w w:val="100"/>
          <w:highlight w:val="none"/>
        </w:rPr>
      </w:pPr>
    </w:p>
    <w:p w14:paraId="5FA4D7E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202</w:t>
      </w:r>
      <w:r>
        <w:rPr>
          <w:rFonts w:hint="eastAsia" w:ascii="宋体" w:hAnsi="宋体" w:eastAsia="宋体" w:cs="宋体"/>
          <w:color w:val="auto"/>
          <w:spacing w:val="0"/>
          <w:w w:val="100"/>
          <w:sz w:val="32"/>
          <w:szCs w:val="32"/>
          <w:highlight w:val="none"/>
          <w:lang w:val="en-US" w:eastAsia="zh-CN"/>
        </w:rPr>
        <w:t>5</w:t>
      </w:r>
      <w:r>
        <w:rPr>
          <w:rFonts w:hint="eastAsia" w:ascii="宋体" w:hAnsi="宋体" w:eastAsia="宋体" w:cs="宋体"/>
          <w:color w:val="auto"/>
          <w:spacing w:val="0"/>
          <w:w w:val="100"/>
          <w:sz w:val="32"/>
          <w:szCs w:val="32"/>
          <w:highlight w:val="none"/>
        </w:rPr>
        <w:t>年</w:t>
      </w:r>
      <w:r>
        <w:rPr>
          <w:rFonts w:hint="eastAsia" w:ascii="宋体" w:hAnsi="宋体" w:eastAsia="宋体" w:cs="宋体"/>
          <w:color w:val="auto"/>
          <w:spacing w:val="0"/>
          <w:w w:val="100"/>
          <w:sz w:val="32"/>
          <w:szCs w:val="32"/>
          <w:highlight w:val="none"/>
          <w:lang w:val="en-US" w:eastAsia="zh-CN"/>
        </w:rPr>
        <w:t>12</w:t>
      </w:r>
      <w:r>
        <w:rPr>
          <w:rFonts w:hint="eastAsia" w:ascii="宋体" w:hAnsi="宋体" w:eastAsia="宋体" w:cs="宋体"/>
          <w:color w:val="auto"/>
          <w:spacing w:val="0"/>
          <w:w w:val="100"/>
          <w:sz w:val="32"/>
          <w:szCs w:val="32"/>
          <w:highlight w:val="none"/>
        </w:rPr>
        <w:t>月</w:t>
      </w:r>
      <w:r>
        <w:rPr>
          <w:rFonts w:hint="eastAsia" w:ascii="宋体" w:hAnsi="宋体" w:eastAsia="宋体" w:cs="宋体"/>
          <w:color w:val="auto"/>
          <w:spacing w:val="0"/>
          <w:w w:val="100"/>
          <w:sz w:val="32"/>
          <w:szCs w:val="32"/>
          <w:highlight w:val="none"/>
          <w:lang w:val="en-US" w:eastAsia="zh-CN"/>
        </w:rPr>
        <w:t>16</w:t>
      </w:r>
      <w:r>
        <w:rPr>
          <w:rFonts w:hint="eastAsia" w:ascii="宋体" w:hAnsi="宋体" w:eastAsia="宋体" w:cs="宋体"/>
          <w:color w:val="auto"/>
          <w:spacing w:val="0"/>
          <w:w w:val="100"/>
          <w:sz w:val="32"/>
          <w:szCs w:val="32"/>
          <w:highlight w:val="none"/>
        </w:rPr>
        <w:t>日</w:t>
      </w:r>
    </w:p>
    <w:p w14:paraId="7A6681C3">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360" w:lineRule="auto"/>
        <w:ind w:left="0"/>
        <w:jc w:val="center"/>
        <w:textAlignment w:val="auto"/>
        <w:outlineLvl w:val="0"/>
        <w:rPr>
          <w:rFonts w:hint="eastAsia" w:ascii="宋体" w:hAnsi="宋体" w:eastAsia="宋体" w:cs="宋体"/>
          <w:color w:val="auto"/>
          <w:spacing w:val="1280"/>
          <w:w w:val="100"/>
          <w:kern w:val="0"/>
          <w:sz w:val="32"/>
          <w:szCs w:val="32"/>
          <w:highlight w:val="none"/>
          <w:fitText w:val="1600" w:id="1056052510"/>
        </w:rPr>
        <w:sectPr>
          <w:footerReference r:id="rId3" w:type="first"/>
          <w:pgSz w:w="11906" w:h="16838"/>
          <w:pgMar w:top="2098" w:right="1474" w:bottom="1984" w:left="1587" w:header="851" w:footer="992" w:gutter="0"/>
          <w:pgNumType w:fmt="decimal" w:start="0"/>
          <w:cols w:space="720" w:num="1"/>
          <w:rtlGutter w:val="0"/>
          <w:docGrid w:linePitch="326" w:charSpace="0"/>
        </w:sectPr>
      </w:pPr>
    </w:p>
    <w:p w14:paraId="2D1477FE">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snapToGrid/>
          <w:color w:val="auto"/>
          <w:spacing w:val="0"/>
          <w:w w:val="100"/>
          <w:sz w:val="32"/>
          <w:szCs w:val="32"/>
          <w:highlight w:val="none"/>
          <w:lang w:val="en-US" w:eastAsia="zh-CN"/>
        </w:rPr>
      </w:pPr>
      <w:r>
        <w:rPr>
          <w:rFonts w:hint="eastAsia" w:ascii="宋体" w:hAnsi="宋体" w:eastAsia="宋体" w:cs="宋体"/>
          <w:bCs/>
          <w:snapToGrid/>
          <w:color w:val="auto"/>
          <w:spacing w:val="53"/>
          <w:w w:val="100"/>
          <w:kern w:val="0"/>
          <w:sz w:val="32"/>
          <w:szCs w:val="32"/>
          <w:highlight w:val="none"/>
          <w:fitText w:val="1600" w:id="1377005533"/>
          <w:lang w:val="en-US" w:eastAsia="zh-CN"/>
        </w:rPr>
        <w:t>申请单</w:t>
      </w:r>
      <w:r>
        <w:rPr>
          <w:rFonts w:hint="eastAsia" w:ascii="宋体" w:hAnsi="宋体" w:eastAsia="宋体" w:cs="宋体"/>
          <w:bCs/>
          <w:snapToGrid/>
          <w:color w:val="auto"/>
          <w:spacing w:val="1"/>
          <w:w w:val="100"/>
          <w:kern w:val="0"/>
          <w:sz w:val="32"/>
          <w:szCs w:val="32"/>
          <w:highlight w:val="none"/>
          <w:fitText w:val="1600" w:id="1377005533"/>
          <w:lang w:val="en-US" w:eastAsia="zh-CN"/>
        </w:rPr>
        <w:t>位</w:t>
      </w:r>
      <w:r>
        <w:rPr>
          <w:rFonts w:hint="eastAsia" w:ascii="宋体" w:hAnsi="宋体" w:eastAsia="宋体" w:cs="宋体"/>
          <w:bCs/>
          <w:snapToGrid/>
          <w:color w:val="auto"/>
          <w:spacing w:val="0"/>
          <w:w w:val="100"/>
          <w:sz w:val="32"/>
          <w:szCs w:val="32"/>
          <w:highlight w:val="none"/>
          <w:lang w:val="en-US" w:eastAsia="zh-CN"/>
        </w:rPr>
        <w:t>：鄂托克旗金良化工有限责任公司</w:t>
      </w:r>
    </w:p>
    <w:p w14:paraId="054C048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snapToGrid/>
          <w:color w:val="auto"/>
          <w:spacing w:val="0"/>
          <w:w w:val="100"/>
          <w:sz w:val="32"/>
          <w:szCs w:val="32"/>
          <w:highlight w:val="none"/>
          <w:lang w:val="en-US" w:eastAsia="zh-CN"/>
        </w:rPr>
      </w:pPr>
      <w:r>
        <w:rPr>
          <w:rFonts w:hint="eastAsia" w:ascii="宋体" w:hAnsi="宋体" w:eastAsia="宋体" w:cs="宋体"/>
          <w:bCs/>
          <w:snapToGrid/>
          <w:color w:val="auto"/>
          <w:spacing w:val="53"/>
          <w:w w:val="100"/>
          <w:kern w:val="0"/>
          <w:sz w:val="32"/>
          <w:szCs w:val="32"/>
          <w:highlight w:val="none"/>
          <w:fitText w:val="1600" w:id="1775061948"/>
          <w:lang w:val="en-US" w:eastAsia="zh-CN"/>
        </w:rPr>
        <w:t>编制单</w:t>
      </w:r>
      <w:r>
        <w:rPr>
          <w:rFonts w:hint="eastAsia" w:ascii="宋体" w:hAnsi="宋体" w:eastAsia="宋体" w:cs="宋体"/>
          <w:bCs/>
          <w:snapToGrid/>
          <w:color w:val="auto"/>
          <w:spacing w:val="1"/>
          <w:w w:val="100"/>
          <w:kern w:val="0"/>
          <w:sz w:val="32"/>
          <w:szCs w:val="32"/>
          <w:highlight w:val="none"/>
          <w:fitText w:val="1600" w:id="1775061948"/>
          <w:lang w:val="en-US" w:eastAsia="zh-CN"/>
        </w:rPr>
        <w:t>位</w:t>
      </w:r>
      <w:r>
        <w:rPr>
          <w:rFonts w:hint="eastAsia" w:ascii="宋体" w:hAnsi="宋体" w:eastAsia="宋体" w:cs="宋体"/>
          <w:bCs/>
          <w:snapToGrid/>
          <w:color w:val="auto"/>
          <w:spacing w:val="0"/>
          <w:w w:val="100"/>
          <w:sz w:val="32"/>
          <w:szCs w:val="32"/>
          <w:highlight w:val="none"/>
          <w:lang w:val="en-US" w:eastAsia="zh-CN"/>
        </w:rPr>
        <w:t>：内蒙古华勘技术服务有限责任公司</w:t>
      </w:r>
    </w:p>
    <w:p w14:paraId="5056337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snapToGrid/>
          <w:color w:val="auto"/>
          <w:spacing w:val="0"/>
          <w:w w:val="100"/>
          <w:sz w:val="32"/>
          <w:szCs w:val="32"/>
          <w:highlight w:val="none"/>
          <w:lang w:val="en-US" w:eastAsia="zh-CN"/>
        </w:rPr>
      </w:pPr>
      <w:r>
        <w:rPr>
          <w:rFonts w:hint="eastAsia" w:ascii="宋体" w:hAnsi="宋体" w:eastAsia="宋体" w:cs="宋体"/>
          <w:bCs/>
          <w:snapToGrid/>
          <w:color w:val="auto"/>
          <w:spacing w:val="0"/>
          <w:w w:val="100"/>
          <w:sz w:val="32"/>
          <w:szCs w:val="32"/>
          <w:highlight w:val="none"/>
          <w:lang w:val="en-US" w:eastAsia="zh-CN"/>
        </w:rPr>
        <w:t>主要编写人：赵燕飞  王  帅  安海江  穆春云  贾松毫</w:t>
      </w:r>
    </w:p>
    <w:p w14:paraId="16012B35">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snapToGrid/>
          <w:color w:val="auto"/>
          <w:spacing w:val="0"/>
          <w:w w:val="100"/>
          <w:sz w:val="32"/>
          <w:szCs w:val="32"/>
          <w:highlight w:val="none"/>
          <w:lang w:val="en-US" w:eastAsia="zh-CN"/>
        </w:rPr>
      </w:pPr>
      <w:r>
        <w:rPr>
          <w:rFonts w:hint="eastAsia" w:ascii="宋体" w:hAnsi="宋体" w:eastAsia="宋体" w:cs="宋体"/>
          <w:bCs/>
          <w:snapToGrid/>
          <w:color w:val="auto"/>
          <w:spacing w:val="53"/>
          <w:w w:val="100"/>
          <w:kern w:val="0"/>
          <w:sz w:val="32"/>
          <w:szCs w:val="32"/>
          <w:highlight w:val="none"/>
          <w:fitText w:val="1600" w:id="1034891885"/>
          <w:lang w:val="en-US" w:eastAsia="zh-CN"/>
        </w:rPr>
        <w:t>编制日</w:t>
      </w:r>
      <w:r>
        <w:rPr>
          <w:rFonts w:hint="eastAsia" w:ascii="宋体" w:hAnsi="宋体" w:eastAsia="宋体" w:cs="宋体"/>
          <w:bCs/>
          <w:snapToGrid/>
          <w:color w:val="auto"/>
          <w:spacing w:val="1"/>
          <w:w w:val="100"/>
          <w:kern w:val="0"/>
          <w:sz w:val="32"/>
          <w:szCs w:val="32"/>
          <w:highlight w:val="none"/>
          <w:fitText w:val="1600" w:id="1034891885"/>
          <w:lang w:val="en-US" w:eastAsia="zh-CN"/>
        </w:rPr>
        <w:t>期</w:t>
      </w:r>
      <w:r>
        <w:rPr>
          <w:rFonts w:hint="eastAsia" w:ascii="宋体" w:hAnsi="宋体" w:eastAsia="宋体" w:cs="宋体"/>
          <w:bCs/>
          <w:snapToGrid/>
          <w:color w:val="auto"/>
          <w:spacing w:val="0"/>
          <w:w w:val="100"/>
          <w:sz w:val="32"/>
          <w:szCs w:val="32"/>
          <w:highlight w:val="none"/>
          <w:lang w:val="en-US" w:eastAsia="zh-CN"/>
        </w:rPr>
        <w:t>：2025年9月</w:t>
      </w:r>
    </w:p>
    <w:p w14:paraId="45E354F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snapToGrid/>
          <w:color w:val="auto"/>
          <w:spacing w:val="0"/>
          <w:w w:val="100"/>
          <w:sz w:val="32"/>
          <w:szCs w:val="32"/>
          <w:highlight w:val="none"/>
          <w:lang w:val="en-US" w:eastAsia="zh-CN"/>
        </w:rPr>
      </w:pPr>
      <w:r>
        <w:rPr>
          <w:rFonts w:hint="eastAsia" w:ascii="宋体" w:hAnsi="宋体" w:eastAsia="宋体" w:cs="宋体"/>
          <w:bCs/>
          <w:snapToGrid/>
          <w:color w:val="auto"/>
          <w:spacing w:val="53"/>
          <w:w w:val="100"/>
          <w:kern w:val="0"/>
          <w:sz w:val="32"/>
          <w:szCs w:val="32"/>
          <w:highlight w:val="none"/>
          <w:fitText w:val="1600" w:id="376506793"/>
          <w:lang w:val="en-US" w:eastAsia="zh-CN"/>
        </w:rPr>
        <w:t>受理日</w:t>
      </w:r>
      <w:r>
        <w:rPr>
          <w:rFonts w:hint="eastAsia" w:ascii="宋体" w:hAnsi="宋体" w:eastAsia="宋体" w:cs="宋体"/>
          <w:bCs/>
          <w:snapToGrid/>
          <w:color w:val="auto"/>
          <w:spacing w:val="1"/>
          <w:w w:val="100"/>
          <w:kern w:val="0"/>
          <w:sz w:val="32"/>
          <w:szCs w:val="32"/>
          <w:highlight w:val="none"/>
          <w:fitText w:val="1600" w:id="376506793"/>
          <w:lang w:val="en-US" w:eastAsia="zh-CN"/>
        </w:rPr>
        <w:t>期</w:t>
      </w:r>
      <w:r>
        <w:rPr>
          <w:rFonts w:hint="eastAsia" w:ascii="宋体" w:hAnsi="宋体" w:eastAsia="宋体" w:cs="宋体"/>
          <w:bCs/>
          <w:snapToGrid/>
          <w:color w:val="auto"/>
          <w:spacing w:val="0"/>
          <w:w w:val="100"/>
          <w:sz w:val="32"/>
          <w:szCs w:val="32"/>
          <w:highlight w:val="none"/>
          <w:lang w:val="en-US" w:eastAsia="zh-CN"/>
        </w:rPr>
        <w:t>：2025年10月13日</w:t>
      </w:r>
    </w:p>
    <w:p w14:paraId="3D3F50DC">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snapToGrid/>
          <w:color w:val="auto"/>
          <w:spacing w:val="0"/>
          <w:w w:val="100"/>
          <w:sz w:val="32"/>
          <w:szCs w:val="32"/>
          <w:highlight w:val="none"/>
          <w:lang w:val="en-US" w:eastAsia="zh-CN"/>
        </w:rPr>
      </w:pPr>
      <w:r>
        <w:rPr>
          <w:rFonts w:hint="eastAsia" w:ascii="宋体" w:hAnsi="宋体" w:eastAsia="宋体" w:cs="宋体"/>
          <w:bCs/>
          <w:snapToGrid/>
          <w:color w:val="auto"/>
          <w:spacing w:val="160"/>
          <w:w w:val="100"/>
          <w:kern w:val="0"/>
          <w:sz w:val="32"/>
          <w:szCs w:val="32"/>
          <w:highlight w:val="none"/>
          <w:fitText w:val="1600" w:id="305145701"/>
          <w:lang w:val="en-US" w:eastAsia="zh-CN"/>
        </w:rPr>
        <w:t>汇报</w:t>
      </w:r>
      <w:r>
        <w:rPr>
          <w:rFonts w:hint="eastAsia" w:ascii="宋体" w:hAnsi="宋体" w:eastAsia="宋体" w:cs="宋体"/>
          <w:bCs/>
          <w:snapToGrid/>
          <w:color w:val="auto"/>
          <w:spacing w:val="0"/>
          <w:w w:val="100"/>
          <w:kern w:val="0"/>
          <w:sz w:val="32"/>
          <w:szCs w:val="32"/>
          <w:highlight w:val="none"/>
          <w:fitText w:val="1600" w:id="305145701"/>
          <w:lang w:val="en-US" w:eastAsia="zh-CN"/>
        </w:rPr>
        <w:t>人</w:t>
      </w:r>
      <w:r>
        <w:rPr>
          <w:rFonts w:hint="eastAsia" w:ascii="宋体" w:hAnsi="宋体" w:eastAsia="宋体" w:cs="宋体"/>
          <w:bCs/>
          <w:snapToGrid/>
          <w:color w:val="auto"/>
          <w:spacing w:val="0"/>
          <w:w w:val="100"/>
          <w:sz w:val="32"/>
          <w:szCs w:val="32"/>
          <w:highlight w:val="none"/>
          <w:lang w:val="en-US" w:eastAsia="zh-CN"/>
        </w:rPr>
        <w:t>：赵燕飞</w:t>
      </w:r>
    </w:p>
    <w:p w14:paraId="410DEC8D">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snapToGrid/>
          <w:color w:val="auto"/>
          <w:spacing w:val="0"/>
          <w:w w:val="100"/>
          <w:sz w:val="32"/>
          <w:szCs w:val="32"/>
          <w:highlight w:val="none"/>
          <w:lang w:val="en-US" w:eastAsia="zh-CN"/>
        </w:rPr>
      </w:pPr>
      <w:r>
        <w:rPr>
          <w:rFonts w:hint="eastAsia" w:ascii="宋体" w:hAnsi="宋体" w:eastAsia="宋体" w:cs="宋体"/>
          <w:bCs/>
          <w:snapToGrid/>
          <w:color w:val="auto"/>
          <w:spacing w:val="0"/>
          <w:w w:val="100"/>
          <w:sz w:val="32"/>
          <w:szCs w:val="32"/>
          <w:highlight w:val="none"/>
          <w:lang w:val="en-US" w:eastAsia="zh-CN"/>
        </w:rPr>
        <w:t>评审专家组</w:t>
      </w:r>
    </w:p>
    <w:p w14:paraId="4E38B4E3">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snapToGrid/>
          <w:color w:val="auto"/>
          <w:spacing w:val="0"/>
          <w:w w:val="100"/>
          <w:sz w:val="32"/>
          <w:szCs w:val="32"/>
          <w:highlight w:val="none"/>
          <w:lang w:val="en-US" w:eastAsia="zh-CN"/>
        </w:rPr>
      </w:pPr>
      <w:r>
        <w:rPr>
          <w:rFonts w:hint="eastAsia" w:ascii="宋体" w:hAnsi="宋体" w:eastAsia="宋体" w:cs="宋体"/>
          <w:bCs/>
          <w:snapToGrid/>
          <w:color w:val="auto"/>
          <w:spacing w:val="0"/>
          <w:w w:val="100"/>
          <w:sz w:val="32"/>
          <w:szCs w:val="32"/>
          <w:highlight w:val="none"/>
          <w:lang w:val="en-US" w:eastAsia="zh-CN"/>
        </w:rPr>
        <w:t xml:space="preserve">    组  长：孙利清（采矿）</w:t>
      </w:r>
    </w:p>
    <w:p w14:paraId="7080563B">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snapToGrid/>
          <w:color w:val="auto"/>
          <w:spacing w:val="0"/>
          <w:w w:val="100"/>
          <w:sz w:val="32"/>
          <w:szCs w:val="32"/>
          <w:highlight w:val="none"/>
          <w:lang w:val="en-US" w:eastAsia="zh-CN"/>
        </w:rPr>
      </w:pPr>
      <w:r>
        <w:rPr>
          <w:rFonts w:hint="eastAsia" w:ascii="宋体" w:hAnsi="宋体" w:eastAsia="宋体" w:cs="宋体"/>
          <w:bCs/>
          <w:snapToGrid/>
          <w:color w:val="auto"/>
          <w:spacing w:val="0"/>
          <w:w w:val="100"/>
          <w:sz w:val="32"/>
          <w:szCs w:val="32"/>
          <w:highlight w:val="none"/>
          <w:lang w:val="en-US" w:eastAsia="zh-CN"/>
        </w:rPr>
        <w:t xml:space="preserve">    成  员：翟永刚（采矿）</w:t>
      </w:r>
      <w:bookmarkStart w:id="0" w:name="OLE_LINK8"/>
      <w:r>
        <w:rPr>
          <w:rFonts w:hint="eastAsia" w:ascii="宋体" w:hAnsi="宋体" w:eastAsia="宋体" w:cs="宋体"/>
          <w:bCs/>
          <w:snapToGrid/>
          <w:color w:val="auto"/>
          <w:spacing w:val="0"/>
          <w:w w:val="100"/>
          <w:sz w:val="32"/>
          <w:szCs w:val="32"/>
          <w:highlight w:val="none"/>
          <w:lang w:val="en-US" w:eastAsia="zh-CN"/>
        </w:rPr>
        <w:t xml:space="preserve">    贾玉峰（地质矿产）</w:t>
      </w:r>
      <w:bookmarkEnd w:id="0"/>
    </w:p>
    <w:p w14:paraId="0679199C">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snapToGrid/>
          <w:color w:val="auto"/>
          <w:spacing w:val="0"/>
          <w:w w:val="100"/>
          <w:sz w:val="32"/>
          <w:szCs w:val="32"/>
          <w:highlight w:val="none"/>
          <w:lang w:val="en-US" w:eastAsia="zh-CN"/>
        </w:rPr>
      </w:pPr>
      <w:r>
        <w:rPr>
          <w:rFonts w:hint="eastAsia" w:ascii="宋体" w:hAnsi="宋体" w:eastAsia="宋体" w:cs="宋体"/>
          <w:bCs/>
          <w:snapToGrid/>
          <w:color w:val="auto"/>
          <w:spacing w:val="0"/>
          <w:w w:val="100"/>
          <w:sz w:val="32"/>
          <w:szCs w:val="32"/>
          <w:highlight w:val="none"/>
          <w:lang w:val="en-US" w:eastAsia="zh-CN"/>
        </w:rPr>
        <w:t xml:space="preserve">            邢万安（水工环）  张维佳（选矿）</w:t>
      </w:r>
    </w:p>
    <w:p w14:paraId="6ED83908">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snapToGrid/>
          <w:color w:val="auto"/>
          <w:spacing w:val="0"/>
          <w:w w:val="100"/>
          <w:sz w:val="32"/>
          <w:szCs w:val="32"/>
          <w:highlight w:val="none"/>
          <w:lang w:val="en-US" w:eastAsia="zh-CN"/>
        </w:rPr>
      </w:pPr>
      <w:r>
        <w:rPr>
          <w:rFonts w:hint="eastAsia" w:ascii="宋体" w:hAnsi="宋体" w:eastAsia="宋体" w:cs="宋体"/>
          <w:bCs/>
          <w:snapToGrid/>
          <w:color w:val="auto"/>
          <w:spacing w:val="53"/>
          <w:w w:val="100"/>
          <w:kern w:val="0"/>
          <w:sz w:val="32"/>
          <w:szCs w:val="32"/>
          <w:highlight w:val="none"/>
          <w:fitText w:val="1600" w:id="1252524201"/>
          <w:lang w:val="en-US" w:eastAsia="zh-CN"/>
        </w:rPr>
        <w:t>评审方</w:t>
      </w:r>
      <w:r>
        <w:rPr>
          <w:rFonts w:hint="eastAsia" w:ascii="宋体" w:hAnsi="宋体" w:eastAsia="宋体" w:cs="宋体"/>
          <w:bCs/>
          <w:snapToGrid/>
          <w:color w:val="auto"/>
          <w:spacing w:val="1"/>
          <w:w w:val="100"/>
          <w:kern w:val="0"/>
          <w:sz w:val="32"/>
          <w:szCs w:val="32"/>
          <w:highlight w:val="none"/>
          <w:fitText w:val="1600" w:id="1252524201"/>
          <w:lang w:val="en-US" w:eastAsia="zh-CN"/>
        </w:rPr>
        <w:t>式</w:t>
      </w:r>
      <w:r>
        <w:rPr>
          <w:rFonts w:hint="eastAsia" w:ascii="宋体" w:hAnsi="宋体" w:eastAsia="宋体" w:cs="宋体"/>
          <w:bCs/>
          <w:snapToGrid/>
          <w:color w:val="auto"/>
          <w:spacing w:val="0"/>
          <w:w w:val="100"/>
          <w:sz w:val="32"/>
          <w:szCs w:val="32"/>
          <w:highlight w:val="none"/>
          <w:lang w:val="en-US" w:eastAsia="zh-CN"/>
        </w:rPr>
        <w:t>：会议评审</w:t>
      </w:r>
    </w:p>
    <w:p w14:paraId="7810CD0E">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snapToGrid/>
          <w:color w:val="auto"/>
          <w:spacing w:val="0"/>
          <w:w w:val="100"/>
          <w:sz w:val="32"/>
          <w:szCs w:val="32"/>
          <w:highlight w:val="none"/>
          <w:lang w:val="en-US" w:eastAsia="zh-CN"/>
        </w:rPr>
      </w:pPr>
      <w:r>
        <w:rPr>
          <w:rFonts w:hint="eastAsia" w:ascii="宋体" w:hAnsi="宋体" w:eastAsia="宋体" w:cs="宋体"/>
          <w:bCs/>
          <w:snapToGrid/>
          <w:color w:val="auto"/>
          <w:spacing w:val="53"/>
          <w:w w:val="100"/>
          <w:kern w:val="0"/>
          <w:sz w:val="32"/>
          <w:szCs w:val="32"/>
          <w:highlight w:val="none"/>
          <w:fitText w:val="1600" w:id="1002405362"/>
          <w:lang w:val="en-US" w:eastAsia="zh-CN"/>
        </w:rPr>
        <w:t>评审日</w:t>
      </w:r>
      <w:r>
        <w:rPr>
          <w:rFonts w:hint="eastAsia" w:ascii="宋体" w:hAnsi="宋体" w:eastAsia="宋体" w:cs="宋体"/>
          <w:bCs/>
          <w:snapToGrid/>
          <w:color w:val="auto"/>
          <w:spacing w:val="1"/>
          <w:w w:val="100"/>
          <w:kern w:val="0"/>
          <w:sz w:val="32"/>
          <w:szCs w:val="32"/>
          <w:highlight w:val="none"/>
          <w:fitText w:val="1600" w:id="1002405362"/>
          <w:lang w:val="en-US" w:eastAsia="zh-CN"/>
        </w:rPr>
        <w:t>期</w:t>
      </w:r>
      <w:r>
        <w:rPr>
          <w:rFonts w:hint="eastAsia" w:ascii="宋体" w:hAnsi="宋体" w:eastAsia="宋体" w:cs="宋体"/>
          <w:bCs/>
          <w:snapToGrid/>
          <w:color w:val="auto"/>
          <w:spacing w:val="0"/>
          <w:w w:val="100"/>
          <w:sz w:val="32"/>
          <w:szCs w:val="32"/>
          <w:highlight w:val="none"/>
          <w:lang w:val="en-US" w:eastAsia="zh-CN"/>
        </w:rPr>
        <w:t>：2025年10月16日</w:t>
      </w:r>
    </w:p>
    <w:p w14:paraId="7BEF5C1D">
      <w:pPr>
        <w:pStyle w:val="2"/>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Cs/>
          <w:snapToGrid/>
          <w:color w:val="auto"/>
          <w:spacing w:val="0"/>
          <w:w w:val="100"/>
          <w:kern w:val="2"/>
          <w:sz w:val="32"/>
          <w:szCs w:val="32"/>
          <w:highlight w:val="none"/>
          <w:lang w:val="en-US" w:eastAsia="zh-CN" w:bidi="ar-SA"/>
        </w:rPr>
      </w:pPr>
      <w:r>
        <w:rPr>
          <w:rFonts w:hint="eastAsia" w:ascii="宋体" w:hAnsi="宋体" w:eastAsia="宋体" w:cs="宋体"/>
          <w:bCs/>
          <w:snapToGrid/>
          <w:color w:val="auto"/>
          <w:spacing w:val="0"/>
          <w:w w:val="100"/>
          <w:kern w:val="2"/>
          <w:sz w:val="32"/>
          <w:szCs w:val="32"/>
          <w:highlight w:val="none"/>
          <w:lang w:val="en-US" w:eastAsia="zh-CN" w:bidi="ar-SA"/>
        </w:rPr>
        <w:t>复核会日期：2025年12月16日</w:t>
      </w:r>
    </w:p>
    <w:p w14:paraId="0FC6D868">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仿宋" w:hAnsi="仿宋" w:eastAsia="仿宋" w:cs="仿宋"/>
          <w:sz w:val="28"/>
          <w:szCs w:val="28"/>
        </w:rPr>
      </w:pPr>
      <w:r>
        <w:rPr>
          <w:rFonts w:hint="eastAsia" w:ascii="宋体" w:hAnsi="宋体" w:eastAsia="宋体" w:cs="宋体"/>
          <w:bCs/>
          <w:snapToGrid/>
          <w:color w:val="auto"/>
          <w:spacing w:val="53"/>
          <w:w w:val="100"/>
          <w:kern w:val="0"/>
          <w:sz w:val="32"/>
          <w:szCs w:val="32"/>
          <w:highlight w:val="none"/>
          <w:fitText w:val="1600" w:id="1394028332"/>
          <w:lang w:val="en-US" w:eastAsia="zh-CN"/>
        </w:rPr>
        <w:t>评审地</w:t>
      </w:r>
      <w:r>
        <w:rPr>
          <w:rFonts w:hint="eastAsia" w:ascii="宋体" w:hAnsi="宋体" w:eastAsia="宋体" w:cs="宋体"/>
          <w:bCs/>
          <w:snapToGrid/>
          <w:color w:val="auto"/>
          <w:spacing w:val="1"/>
          <w:w w:val="100"/>
          <w:kern w:val="0"/>
          <w:sz w:val="32"/>
          <w:szCs w:val="32"/>
          <w:highlight w:val="none"/>
          <w:fitText w:val="1600" w:id="1394028332"/>
          <w:lang w:val="en-US" w:eastAsia="zh-CN"/>
        </w:rPr>
        <w:t>点</w:t>
      </w:r>
      <w:r>
        <w:rPr>
          <w:rFonts w:hint="eastAsia" w:ascii="宋体" w:hAnsi="宋体" w:eastAsia="宋体" w:cs="宋体"/>
          <w:bCs/>
          <w:snapToGrid/>
          <w:color w:val="auto"/>
          <w:spacing w:val="0"/>
          <w:w w:val="100"/>
          <w:sz w:val="32"/>
          <w:szCs w:val="32"/>
          <w:highlight w:val="none"/>
          <w:lang w:val="en-US" w:eastAsia="zh-CN"/>
        </w:rPr>
        <w:t>：呼和浩特市</w:t>
      </w:r>
    </w:p>
    <w:p w14:paraId="5A68C5AD">
      <w:pPr>
        <w:spacing w:line="500" w:lineRule="exact"/>
        <w:ind w:firstLine="560" w:firstLineChars="200"/>
        <w:rPr>
          <w:rFonts w:hint="eastAsia" w:ascii="仿宋" w:hAnsi="仿宋" w:eastAsia="仿宋" w:cs="仿宋"/>
          <w:sz w:val="28"/>
          <w:szCs w:val="28"/>
        </w:rPr>
      </w:pPr>
    </w:p>
    <w:p w14:paraId="00746B06">
      <w:pPr>
        <w:spacing w:line="500" w:lineRule="exact"/>
        <w:ind w:firstLine="560" w:firstLineChars="200"/>
        <w:rPr>
          <w:rFonts w:hint="eastAsia" w:ascii="仿宋" w:hAnsi="仿宋" w:eastAsia="仿宋" w:cs="仿宋"/>
          <w:sz w:val="28"/>
          <w:szCs w:val="28"/>
        </w:rPr>
      </w:pPr>
    </w:p>
    <w:p w14:paraId="0D3A6B3F">
      <w:pPr>
        <w:spacing w:line="500" w:lineRule="exact"/>
        <w:ind w:firstLine="560" w:firstLineChars="200"/>
        <w:rPr>
          <w:rFonts w:hint="eastAsia" w:ascii="仿宋" w:hAnsi="仿宋" w:eastAsia="仿宋" w:cs="仿宋"/>
          <w:sz w:val="28"/>
          <w:szCs w:val="28"/>
        </w:rPr>
      </w:pPr>
    </w:p>
    <w:p w14:paraId="292B5890">
      <w:pPr>
        <w:keepNext w:val="0"/>
        <w:keepLines w:val="0"/>
        <w:pageBreakBefore w:val="0"/>
        <w:widowControl w:val="0"/>
        <w:kinsoku/>
        <w:wordWrap/>
        <w:overflowPunct/>
        <w:topLinePunct w:val="0"/>
        <w:autoSpaceDE/>
        <w:autoSpaceDN/>
        <w:bidi w:val="0"/>
        <w:spacing w:line="560" w:lineRule="exact"/>
        <w:ind w:left="0" w:leftChars="0" w:firstLine="560" w:firstLineChars="200"/>
        <w:jc w:val="both"/>
        <w:textAlignment w:val="auto"/>
        <w:rPr>
          <w:rFonts w:hint="eastAsia" w:ascii="仿宋" w:hAnsi="仿宋" w:eastAsia="宋体" w:cs="仿宋"/>
          <w:sz w:val="28"/>
          <w:szCs w:val="28"/>
        </w:rPr>
        <w:sectPr>
          <w:footerReference r:id="rId4" w:type="default"/>
          <w:pgSz w:w="11906" w:h="16838"/>
          <w:pgMar w:top="2098" w:right="1474" w:bottom="1984" w:left="1587" w:header="851" w:footer="992" w:gutter="0"/>
          <w:pgNumType w:fmt="decimal" w:start="1"/>
          <w:cols w:space="720" w:num="1"/>
          <w:rtlGutter w:val="0"/>
          <w:docGrid w:type="lines" w:linePitch="312" w:charSpace="0"/>
        </w:sectPr>
      </w:pPr>
    </w:p>
    <w:p w14:paraId="4C69FEBC">
      <w:pPr>
        <w:keepNext w:val="0"/>
        <w:keepLines w:val="0"/>
        <w:pageBreakBefore w:val="0"/>
        <w:widowControl w:val="0"/>
        <w:kinsoku/>
        <w:wordWrap/>
        <w:overflowPunct/>
        <w:topLinePunct w:val="0"/>
        <w:autoSpaceDE/>
        <w:autoSpaceDN/>
        <w:bidi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鄂尔多斯市地质调查监测院</w:t>
      </w:r>
      <w:r>
        <w:rPr>
          <w:rFonts w:hint="eastAsia" w:ascii="仿宋" w:hAnsi="仿宋" w:eastAsia="宋体" w:cs="仿宋"/>
          <w:sz w:val="28"/>
          <w:szCs w:val="28"/>
          <w:lang w:eastAsia="zh-CN"/>
        </w:rPr>
        <w:t>于</w:t>
      </w:r>
      <w:r>
        <w:rPr>
          <w:rFonts w:hint="eastAsia" w:ascii="仿宋" w:hAnsi="仿宋" w:eastAsia="宋体" w:cs="仿宋"/>
          <w:sz w:val="28"/>
          <w:szCs w:val="28"/>
        </w:rPr>
        <w:t>2025年10月13日受理了鄂托克旗金良化工有限责任公司提交、内蒙古华勘技术服务有限责任公司编制的《鄂托克旗金良化工有限责任公司石灰石矿开采方案》（以下简称《开采方案》）</w:t>
      </w:r>
      <w:r>
        <w:rPr>
          <w:rFonts w:hint="eastAsia" w:ascii="仿宋" w:hAnsi="仿宋" w:eastAsia="宋体" w:cs="仿宋"/>
          <w:sz w:val="28"/>
          <w:szCs w:val="28"/>
          <w:lang w:eastAsia="zh-CN"/>
        </w:rPr>
        <w:t>，并</w:t>
      </w:r>
      <w:r>
        <w:rPr>
          <w:rFonts w:hint="eastAsia" w:ascii="仿宋" w:hAnsi="仿宋" w:eastAsia="宋体" w:cs="仿宋"/>
          <w:sz w:val="28"/>
          <w:szCs w:val="28"/>
        </w:rPr>
        <w:t>依据《内蒙古自治区自然资源厅关于做好</w:t>
      </w:r>
      <w:r>
        <w:rPr>
          <w:rFonts w:hint="eastAsia" w:ascii="宋体" w:hAnsi="宋体" w:eastAsia="宋体" w:cs="宋体"/>
          <w:color w:val="000000"/>
          <w:spacing w:val="0"/>
          <w:sz w:val="28"/>
          <w:szCs w:val="28"/>
        </w:rPr>
        <w:t>〈矿产资源法〉</w:t>
      </w:r>
      <w:r>
        <w:rPr>
          <w:rFonts w:hint="eastAsia" w:ascii="仿宋" w:hAnsi="仿宋" w:eastAsia="宋体" w:cs="仿宋"/>
          <w:sz w:val="28"/>
          <w:szCs w:val="28"/>
        </w:rPr>
        <w:t>实施衔接过渡期矿产资源勘查方案、开采方案评审工作的公告》（公告〔2025〕27号）和《内蒙古自治区自然资源厅关于发布矿产资源勘查方案、开采方案评审临时服务指南的公告》(公告〔2025〕30号)等文件</w:t>
      </w:r>
      <w:r>
        <w:rPr>
          <w:rFonts w:hint="eastAsia" w:ascii="仿宋" w:hAnsi="仿宋" w:eastAsia="宋体" w:cs="仿宋"/>
          <w:sz w:val="28"/>
          <w:szCs w:val="28"/>
          <w:lang w:eastAsia="zh-CN"/>
        </w:rPr>
        <w:t>，</w:t>
      </w:r>
      <w:r>
        <w:rPr>
          <w:rFonts w:hint="eastAsia" w:ascii="仿宋" w:hAnsi="仿宋" w:eastAsia="宋体" w:cs="仿宋"/>
          <w:sz w:val="28"/>
          <w:szCs w:val="28"/>
        </w:rPr>
        <w:t>于2025年10月16日在呼和浩特市组织专家对《开采方案》进行了评审。会后《开采方案》提交单位按专家组意见对《开采方案》进行了修改完善，于2025年11月13日返回修改稿，经专家组复核后形成仅供矿业权管理使用的评审意见如下：</w:t>
      </w:r>
    </w:p>
    <w:p w14:paraId="195E4F06">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rPr>
      </w:pPr>
      <w:r>
        <w:rPr>
          <w:rFonts w:hint="eastAsia" w:ascii="黑体" w:hAnsi="黑体" w:eastAsia="黑体" w:cs="黑体"/>
          <w:b w:val="0"/>
          <w:bCs w:val="0"/>
          <w:snapToGrid/>
          <w:color w:val="auto"/>
          <w:spacing w:val="0"/>
          <w:w w:val="100"/>
          <w:sz w:val="28"/>
          <w:szCs w:val="28"/>
          <w:highlight w:val="none"/>
        </w:rPr>
        <w:t>《开采方案》编制目的</w:t>
      </w:r>
    </w:p>
    <w:p w14:paraId="520A575F">
      <w:pPr>
        <w:keepNext w:val="0"/>
        <w:keepLines w:val="0"/>
        <w:pageBreakBefore w:val="0"/>
        <w:widowControl w:val="0"/>
        <w:kinsoku/>
        <w:wordWrap/>
        <w:overflowPunct/>
        <w:topLinePunct w:val="0"/>
        <w:autoSpaceDE/>
        <w:autoSpaceDN/>
        <w:bidi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《开采方案》编制目的属于扩大开采区域。</w:t>
      </w:r>
    </w:p>
    <w:p w14:paraId="71C6A835">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rPr>
      </w:pPr>
      <w:r>
        <w:rPr>
          <w:rFonts w:hint="eastAsia" w:ascii="黑体" w:hAnsi="黑体" w:eastAsia="黑体" w:cs="黑体"/>
          <w:b w:val="0"/>
          <w:bCs w:val="0"/>
          <w:snapToGrid/>
          <w:color w:val="auto"/>
          <w:spacing w:val="0"/>
          <w:w w:val="100"/>
          <w:sz w:val="28"/>
          <w:szCs w:val="28"/>
          <w:highlight w:val="none"/>
        </w:rPr>
        <w:t>矿区地质与矿产资源情况</w:t>
      </w:r>
    </w:p>
    <w:p w14:paraId="6D2FEB24">
      <w:pPr>
        <w:pStyle w:val="13"/>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《开采方案》编制</w:t>
      </w:r>
      <w:bookmarkStart w:id="1" w:name="OLE_LINK1"/>
      <w:r>
        <w:rPr>
          <w:rFonts w:hint="eastAsia" w:ascii="仿宋" w:hAnsi="仿宋" w:eastAsia="宋体" w:cs="仿宋"/>
          <w:sz w:val="28"/>
          <w:szCs w:val="28"/>
        </w:rPr>
        <w:t>依据的</w:t>
      </w:r>
      <w:bookmarkEnd w:id="1"/>
      <w:r>
        <w:rPr>
          <w:rFonts w:hint="eastAsia" w:ascii="仿宋" w:hAnsi="仿宋" w:eastAsia="宋体" w:cs="仿宋"/>
          <w:sz w:val="28"/>
          <w:szCs w:val="28"/>
        </w:rPr>
        <w:t>《内蒙古自治区鄂托克旗金良化工有限责任公司水泥用石灰岩矿（整合）资源储量核实报告》经（鄂自然资储评字〔2025〕6号）评审、（鄂自然资储备字〔2025〕7号）备案，勘查工作程度达到勘探阶段的要求，可作为编制《开采方案》的依据。</w:t>
      </w:r>
    </w:p>
    <w:p w14:paraId="6BB3A49D">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420" w:firstLineChars="0"/>
        <w:jc w:val="both"/>
        <w:textAlignment w:val="auto"/>
        <w:rPr>
          <w:rFonts w:ascii="仿宋" w:hAnsi="仿宋" w:eastAsia="宋体" w:cs="仿宋"/>
          <w:sz w:val="28"/>
          <w:szCs w:val="28"/>
        </w:rPr>
      </w:pPr>
      <w:r>
        <w:rPr>
          <w:rFonts w:hint="eastAsia" w:ascii="仿宋" w:hAnsi="仿宋" w:eastAsia="宋体" w:cs="仿宋"/>
          <w:sz w:val="28"/>
          <w:szCs w:val="28"/>
        </w:rPr>
        <w:t>祥屹可采标高1320m以上资源储量估算结果（采矿许可证范围）截止2025年3月31日，祥屹石灰岩矿保有的资源量为1262.5万吨（其中：控制资源量为468.7万吨、推断资源量为793.8万吨），矿床平均品位：CaO 52.68%、MgO 0.92%。</w:t>
      </w:r>
    </w:p>
    <w:p w14:paraId="1C6CC9B3">
      <w:pPr>
        <w:keepNext w:val="0"/>
        <w:keepLines w:val="0"/>
        <w:pageBreakBefore w:val="0"/>
        <w:widowControl w:val="0"/>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祥屹采区西部工业场地压覆推断资源量261.5万吨。</w:t>
      </w:r>
    </w:p>
    <w:p w14:paraId="581FEE8A">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420" w:firstLineChars="0"/>
        <w:jc w:val="both"/>
        <w:textAlignment w:val="auto"/>
        <w:rPr>
          <w:rFonts w:hint="eastAsia" w:ascii="仿宋" w:hAnsi="仿宋" w:eastAsia="宋体" w:cs="仿宋"/>
          <w:sz w:val="28"/>
          <w:szCs w:val="28"/>
        </w:rPr>
      </w:pPr>
      <w:r>
        <w:rPr>
          <w:rFonts w:hint="eastAsia" w:ascii="仿宋" w:hAnsi="仿宋" w:eastAsia="宋体" w:cs="仿宋"/>
          <w:sz w:val="28"/>
          <w:szCs w:val="28"/>
        </w:rPr>
        <w:t>金良可采标高1300m以上资源储量估算结果（采矿许可证+探矿许可证范围）截止2025年3月31日，鄂托克旗金良化工有限责任公司石灰岩矿保有资源量7424.5万吨，其中：探明资源量1828.7万吨、控制资源量3741.9万吨、推断资源量1853.9万吨。矿床平均品位：CaO 52.81%、MgO 1.63%。</w:t>
      </w:r>
    </w:p>
    <w:p w14:paraId="5C0EFDAC">
      <w:pPr>
        <w:keepNext w:val="0"/>
        <w:keepLines w:val="0"/>
        <w:pageBreakBefore w:val="0"/>
        <w:widowControl w:val="0"/>
        <w:numPr>
          <w:ilvl w:val="0"/>
          <w:numId w:val="2"/>
        </w:numPr>
        <w:tabs>
          <w:tab w:val="left" w:pos="312"/>
        </w:tabs>
        <w:kinsoku/>
        <w:wordWrap/>
        <w:overflowPunct/>
        <w:topLinePunct w:val="0"/>
        <w:autoSpaceDE/>
        <w:autoSpaceDN/>
        <w:bidi w:val="0"/>
        <w:snapToGrid w:val="0"/>
        <w:spacing w:line="560" w:lineRule="exact"/>
        <w:ind w:left="0" w:leftChars="0" w:firstLine="420" w:firstLineChars="0"/>
        <w:jc w:val="both"/>
        <w:textAlignment w:val="auto"/>
        <w:rPr>
          <w:rFonts w:hint="eastAsia" w:ascii="仿宋" w:hAnsi="仿宋" w:eastAsia="宋体" w:cs="仿宋"/>
          <w:sz w:val="28"/>
          <w:szCs w:val="28"/>
        </w:rPr>
      </w:pPr>
      <w:r>
        <w:rPr>
          <w:rFonts w:hint="eastAsia" w:ascii="仿宋" w:hAnsi="仿宋" w:eastAsia="宋体" w:cs="仿宋"/>
          <w:sz w:val="28"/>
          <w:szCs w:val="28"/>
        </w:rPr>
        <w:t>截止2025年3月31日，金良整合区合计保有资源量8948.5万吨，其中：探明资源量1828.7万吨、控制资源量4210.6万吨、推断资源量2909.2万吨。</w:t>
      </w:r>
      <w:bookmarkStart w:id="2" w:name="_Hlk216791226"/>
      <w:r>
        <w:rPr>
          <w:rFonts w:hint="eastAsia" w:ascii="仿宋" w:hAnsi="仿宋" w:eastAsia="宋体" w:cs="仿宋"/>
          <w:sz w:val="28"/>
          <w:szCs w:val="28"/>
        </w:rPr>
        <w:t>其中祥屹采区西部工业场地压覆推断资源量261.5万吨。</w:t>
      </w:r>
      <w:bookmarkEnd w:id="2"/>
    </w:p>
    <w:p w14:paraId="46268BA5">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420" w:firstLineChars="0"/>
        <w:jc w:val="both"/>
        <w:textAlignment w:val="auto"/>
        <w:rPr>
          <w:rFonts w:hint="eastAsia" w:ascii="仿宋" w:hAnsi="仿宋" w:eastAsia="宋体" w:cs="仿宋"/>
          <w:sz w:val="28"/>
          <w:szCs w:val="28"/>
        </w:rPr>
      </w:pPr>
      <w:r>
        <w:rPr>
          <w:rFonts w:hint="eastAsia" w:ascii="仿宋" w:hAnsi="仿宋" w:eastAsia="宋体" w:cs="仿宋"/>
          <w:sz w:val="28"/>
          <w:szCs w:val="28"/>
        </w:rPr>
        <w:t>《开采方案》采用资源量7716.6万吨，其中金良采区采用资源量为6637.0万吨、祥屹采区采用资源量为1079.6万吨。</w:t>
      </w:r>
    </w:p>
    <w:p w14:paraId="4FC822D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推荐矿石开采回采率为95%，可采资源量为7330.8万吨。其中：金良采区可采资源量为6305.2万吨</w:t>
      </w:r>
      <w:r>
        <w:rPr>
          <w:rFonts w:hint="eastAsia" w:ascii="仿宋" w:hAnsi="仿宋" w:eastAsia="宋体" w:cs="仿宋"/>
          <w:sz w:val="28"/>
          <w:szCs w:val="28"/>
          <w:lang w:val="en-US" w:eastAsia="zh-CN"/>
        </w:rPr>
        <w:t>，</w:t>
      </w:r>
      <w:r>
        <w:rPr>
          <w:rFonts w:hint="eastAsia" w:ascii="仿宋" w:hAnsi="仿宋" w:eastAsia="宋体" w:cs="仿宋"/>
          <w:sz w:val="28"/>
          <w:szCs w:val="28"/>
        </w:rPr>
        <w:t>祥屹采区可采资源量为1025.6万吨。</w:t>
      </w:r>
    </w:p>
    <w:p w14:paraId="4BEC78A7">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rPr>
      </w:pPr>
      <w:r>
        <w:rPr>
          <w:rFonts w:hint="eastAsia" w:ascii="黑体" w:hAnsi="黑体" w:eastAsia="黑体" w:cs="黑体"/>
          <w:b w:val="0"/>
          <w:bCs w:val="0"/>
          <w:snapToGrid/>
          <w:color w:val="auto"/>
          <w:spacing w:val="0"/>
          <w:w w:val="100"/>
          <w:sz w:val="28"/>
          <w:szCs w:val="28"/>
          <w:highlight w:val="none"/>
        </w:rPr>
        <w:t>开采区域</w:t>
      </w:r>
    </w:p>
    <w:p w14:paraId="49DD7882">
      <w:pPr>
        <w:keepNext w:val="0"/>
        <w:keepLines w:val="0"/>
        <w:pageBreakBefore w:val="0"/>
        <w:widowControl w:val="0"/>
        <w:numPr>
          <w:ilvl w:val="0"/>
          <w:numId w:val="3"/>
        </w:numPr>
        <w:tabs>
          <w:tab w:val="left" w:pos="312"/>
        </w:tabs>
        <w:kinsoku/>
        <w:wordWrap/>
        <w:overflowPunct/>
        <w:topLinePunct w:val="0"/>
        <w:autoSpaceDE/>
        <w:autoSpaceDN/>
        <w:bidi w:val="0"/>
        <w:adjustRightInd w:val="0"/>
        <w:snapToGrid w:val="0"/>
        <w:spacing w:line="560" w:lineRule="exact"/>
        <w:ind w:left="0" w:leftChars="0" w:firstLine="420" w:firstLineChars="0"/>
        <w:jc w:val="both"/>
        <w:textAlignment w:val="auto"/>
        <w:rPr>
          <w:rFonts w:hint="eastAsia" w:ascii="仿宋" w:hAnsi="仿宋" w:eastAsia="宋体" w:cs="仿宋"/>
          <w:sz w:val="28"/>
          <w:szCs w:val="28"/>
        </w:rPr>
      </w:pPr>
      <w:r>
        <w:rPr>
          <w:rFonts w:hint="eastAsia" w:ascii="仿宋" w:hAnsi="仿宋" w:eastAsia="宋体" w:cs="仿宋"/>
          <w:sz w:val="28"/>
          <w:szCs w:val="28"/>
        </w:rPr>
        <w:t>采矿权</w:t>
      </w:r>
    </w:p>
    <w:p w14:paraId="5064E4E6">
      <w:pPr>
        <w:keepNext w:val="0"/>
        <w:keepLines w:val="0"/>
        <w:pageBreakBefore w:val="0"/>
        <w:widowControl w:val="0"/>
        <w:numPr>
          <w:ilvl w:val="0"/>
          <w:numId w:val="4"/>
        </w:numPr>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lang w:val="zh-CN"/>
        </w:rPr>
      </w:pPr>
      <w:r>
        <w:rPr>
          <w:rFonts w:hint="eastAsia" w:ascii="仿宋" w:hAnsi="仿宋" w:eastAsia="宋体" w:cs="仿宋"/>
          <w:sz w:val="28"/>
          <w:szCs w:val="28"/>
        </w:rPr>
        <w:t>金良采矿许可证号：C1506002011117130120079</w:t>
      </w:r>
      <w:r>
        <w:rPr>
          <w:rFonts w:hint="eastAsia" w:ascii="仿宋" w:hAnsi="仿宋" w:eastAsia="宋体" w:cs="仿宋"/>
          <w:sz w:val="28"/>
          <w:szCs w:val="28"/>
          <w:lang w:val="zh-CN"/>
        </w:rPr>
        <w:t>；采矿权人：</w:t>
      </w:r>
      <w:r>
        <w:rPr>
          <w:rFonts w:hint="eastAsia" w:ascii="仿宋" w:hAnsi="仿宋" w:eastAsia="宋体" w:cs="仿宋"/>
          <w:sz w:val="28"/>
          <w:szCs w:val="28"/>
        </w:rPr>
        <w:t>鄂托克旗金良化工有限责任公司</w:t>
      </w:r>
      <w:r>
        <w:rPr>
          <w:rFonts w:hint="eastAsia" w:ascii="仿宋" w:hAnsi="仿宋" w:eastAsia="宋体" w:cs="仿宋"/>
          <w:sz w:val="28"/>
          <w:szCs w:val="28"/>
          <w:lang w:val="zh-CN"/>
        </w:rPr>
        <w:t>；</w:t>
      </w:r>
      <w:r>
        <w:rPr>
          <w:rFonts w:hint="eastAsia" w:ascii="仿宋" w:hAnsi="仿宋" w:eastAsia="宋体" w:cs="仿宋"/>
          <w:sz w:val="28"/>
          <w:szCs w:val="28"/>
        </w:rPr>
        <w:t>矿山名称：鄂托克旗金良化工有限责任公司石灰石矿</w:t>
      </w:r>
      <w:r>
        <w:rPr>
          <w:rFonts w:hint="eastAsia" w:ascii="仿宋" w:hAnsi="仿宋" w:eastAsia="宋体" w:cs="仿宋"/>
          <w:sz w:val="28"/>
          <w:szCs w:val="28"/>
          <w:lang w:val="zh-CN"/>
        </w:rPr>
        <w:t>；</w:t>
      </w:r>
      <w:r>
        <w:rPr>
          <w:rFonts w:hint="eastAsia" w:ascii="仿宋" w:hAnsi="仿宋" w:eastAsia="宋体" w:cs="仿宋"/>
          <w:sz w:val="28"/>
          <w:szCs w:val="28"/>
        </w:rPr>
        <w:t>开采矿种：石灰岩；开采方式：露天开采；生产规模：45万吨/年；由22个拐点圈定（未包括剔除范围8个拐点坐标），矿区面积：0.3910km</w:t>
      </w:r>
      <w:r>
        <w:rPr>
          <w:rFonts w:hint="eastAsia" w:ascii="仿宋" w:hAnsi="仿宋" w:eastAsia="宋体" w:cs="仿宋"/>
          <w:sz w:val="28"/>
          <w:szCs w:val="28"/>
          <w:vertAlign w:val="superscript"/>
        </w:rPr>
        <w:t>2</w:t>
      </w:r>
      <w:r>
        <w:rPr>
          <w:rFonts w:hint="eastAsia" w:ascii="仿宋" w:hAnsi="仿宋" w:eastAsia="宋体" w:cs="仿宋"/>
          <w:sz w:val="28"/>
          <w:szCs w:val="28"/>
        </w:rPr>
        <w:t>；开采深度：1488～1410m标高。有效期限：</w:t>
      </w:r>
      <w:r>
        <w:rPr>
          <w:rFonts w:hint="eastAsia" w:ascii="仿宋" w:hAnsi="仿宋" w:eastAsia="宋体" w:cs="仿宋"/>
          <w:sz w:val="28"/>
          <w:szCs w:val="28"/>
          <w:lang w:eastAsia="zh-CN"/>
        </w:rPr>
        <w:t>自</w:t>
      </w:r>
      <w:r>
        <w:rPr>
          <w:rFonts w:hint="eastAsia" w:ascii="仿宋" w:hAnsi="仿宋" w:eastAsia="宋体" w:cs="仿宋"/>
          <w:sz w:val="28"/>
          <w:szCs w:val="28"/>
        </w:rPr>
        <w:t>2023年9月22日至2033年9月22日</w:t>
      </w:r>
      <w:r>
        <w:rPr>
          <w:rFonts w:hint="eastAsia" w:ascii="仿宋" w:hAnsi="仿宋" w:eastAsia="宋体" w:cs="仿宋"/>
          <w:sz w:val="28"/>
          <w:szCs w:val="28"/>
          <w:lang w:val="zh-CN"/>
        </w:rPr>
        <w:t>。</w:t>
      </w:r>
    </w:p>
    <w:p w14:paraId="49AE24F2">
      <w:pPr>
        <w:keepNext w:val="0"/>
        <w:keepLines w:val="0"/>
        <w:pageBreakBefore w:val="0"/>
        <w:widowControl w:val="0"/>
        <w:numPr>
          <w:ilvl w:val="0"/>
          <w:numId w:val="4"/>
        </w:numPr>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祥屹采矿许可证号：C1506002010117120081007</w:t>
      </w:r>
      <w:r>
        <w:rPr>
          <w:rFonts w:hint="eastAsia" w:ascii="仿宋" w:hAnsi="仿宋" w:eastAsia="宋体" w:cs="仿宋"/>
          <w:sz w:val="28"/>
          <w:szCs w:val="28"/>
          <w:lang w:val="zh-CN"/>
        </w:rPr>
        <w:t>；采矿权人：</w:t>
      </w:r>
      <w:r>
        <w:rPr>
          <w:rFonts w:hint="eastAsia" w:ascii="仿宋" w:hAnsi="仿宋" w:eastAsia="宋体" w:cs="仿宋"/>
          <w:sz w:val="28"/>
          <w:szCs w:val="28"/>
        </w:rPr>
        <w:t>鄂托克旗金良化工有限责任公司</w:t>
      </w:r>
      <w:r>
        <w:rPr>
          <w:rFonts w:hint="eastAsia" w:ascii="仿宋" w:hAnsi="仿宋" w:eastAsia="宋体" w:cs="仿宋"/>
          <w:sz w:val="28"/>
          <w:szCs w:val="28"/>
          <w:lang w:val="zh-CN"/>
        </w:rPr>
        <w:t>；</w:t>
      </w:r>
      <w:r>
        <w:rPr>
          <w:rFonts w:hint="eastAsia" w:ascii="仿宋" w:hAnsi="仿宋" w:eastAsia="宋体" w:cs="仿宋"/>
          <w:sz w:val="28"/>
          <w:szCs w:val="28"/>
        </w:rPr>
        <w:t>矿山名称：鄂托克旗金良化工有限责任公司祥屹石灰石矿</w:t>
      </w:r>
      <w:r>
        <w:rPr>
          <w:rFonts w:hint="eastAsia" w:ascii="仿宋" w:hAnsi="仿宋" w:eastAsia="宋体" w:cs="仿宋"/>
          <w:sz w:val="28"/>
          <w:szCs w:val="28"/>
          <w:lang w:val="zh-CN"/>
        </w:rPr>
        <w:t>；</w:t>
      </w:r>
      <w:r>
        <w:rPr>
          <w:rFonts w:hint="eastAsia" w:ascii="仿宋" w:hAnsi="仿宋" w:eastAsia="宋体" w:cs="仿宋"/>
          <w:sz w:val="28"/>
          <w:szCs w:val="28"/>
        </w:rPr>
        <w:t>开采矿种：石灰岩；开采方式：露天开采；生产规模：90万吨/年；由4个拐点圈定，矿区面积：0.2034km</w:t>
      </w:r>
      <w:r>
        <w:rPr>
          <w:rFonts w:hint="eastAsia" w:ascii="仿宋" w:hAnsi="仿宋" w:eastAsia="宋体" w:cs="仿宋"/>
          <w:sz w:val="28"/>
          <w:szCs w:val="28"/>
          <w:vertAlign w:val="superscript"/>
        </w:rPr>
        <w:t>2</w:t>
      </w:r>
      <w:r>
        <w:rPr>
          <w:rFonts w:hint="eastAsia" w:ascii="仿宋" w:hAnsi="仿宋" w:eastAsia="宋体" w:cs="仿宋"/>
          <w:sz w:val="28"/>
          <w:szCs w:val="28"/>
        </w:rPr>
        <w:t>；开采深度：1410～1320m标高。有效期限：</w:t>
      </w:r>
      <w:r>
        <w:rPr>
          <w:rFonts w:hint="eastAsia" w:ascii="仿宋" w:hAnsi="仿宋" w:eastAsia="宋体" w:cs="仿宋"/>
          <w:sz w:val="28"/>
          <w:szCs w:val="28"/>
          <w:lang w:eastAsia="zh-CN"/>
        </w:rPr>
        <w:t>自</w:t>
      </w:r>
      <w:r>
        <w:rPr>
          <w:rFonts w:hint="eastAsia" w:ascii="仿宋" w:hAnsi="仿宋" w:eastAsia="宋体" w:cs="仿宋"/>
          <w:sz w:val="28"/>
          <w:szCs w:val="28"/>
        </w:rPr>
        <w:t>2025年3月24日至2026年10月21日。</w:t>
      </w:r>
    </w:p>
    <w:p w14:paraId="38CC2624">
      <w:pPr>
        <w:keepNext w:val="0"/>
        <w:keepLines w:val="0"/>
        <w:pageBreakBefore w:val="0"/>
        <w:widowControl w:val="0"/>
        <w:numPr>
          <w:ilvl w:val="0"/>
          <w:numId w:val="3"/>
        </w:numPr>
        <w:kinsoku/>
        <w:wordWrap/>
        <w:overflowPunct/>
        <w:topLinePunct w:val="0"/>
        <w:autoSpaceDE/>
        <w:autoSpaceDN/>
        <w:bidi w:val="0"/>
        <w:snapToGrid w:val="0"/>
        <w:spacing w:line="560" w:lineRule="exact"/>
        <w:ind w:left="0" w:leftChars="0" w:firstLine="420" w:firstLineChars="0"/>
        <w:jc w:val="both"/>
        <w:textAlignment w:val="auto"/>
        <w:rPr>
          <w:rFonts w:hint="eastAsia" w:ascii="仿宋" w:hAnsi="仿宋" w:eastAsia="宋体" w:cs="仿宋"/>
          <w:sz w:val="28"/>
          <w:szCs w:val="28"/>
        </w:rPr>
      </w:pPr>
      <w:r>
        <w:rPr>
          <w:rFonts w:hint="eastAsia" w:ascii="仿宋" w:hAnsi="仿宋" w:eastAsia="宋体" w:cs="仿宋"/>
          <w:sz w:val="28"/>
          <w:szCs w:val="28"/>
        </w:rPr>
        <w:t>探矿权</w:t>
      </w:r>
    </w:p>
    <w:p w14:paraId="0ADFFED6">
      <w:pPr>
        <w:keepNext w:val="0"/>
        <w:keepLines w:val="0"/>
        <w:pageBreakBefore w:val="0"/>
        <w:widowControl w:val="0"/>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highlight w:val="none"/>
        </w:rPr>
      </w:pPr>
      <w:r>
        <w:rPr>
          <w:rFonts w:hint="eastAsia" w:ascii="仿宋" w:hAnsi="仿宋" w:eastAsia="宋体" w:cs="仿宋"/>
          <w:sz w:val="28"/>
          <w:szCs w:val="28"/>
        </w:rPr>
        <w:t>鄂托克旗金良化工有限责任公司于2022年10月20日取得了“鄂托克旗金良化工有限责任公司石灰石矿深部勘探”的探矿证，探矿证号为T1</w:t>
      </w:r>
      <w:r>
        <w:rPr>
          <w:rFonts w:hint="eastAsia" w:ascii="仿宋" w:hAnsi="仿宋" w:eastAsia="宋体" w:cs="仿宋"/>
          <w:sz w:val="28"/>
          <w:szCs w:val="28"/>
          <w:highlight w:val="none"/>
        </w:rPr>
        <w:t>506002022106050057040，有效期限2022年10月20日至2027年10月20日，勘查面积0.39km</w:t>
      </w:r>
      <w:r>
        <w:rPr>
          <w:rFonts w:hint="eastAsia" w:ascii="仿宋" w:hAnsi="仿宋" w:eastAsia="宋体" w:cs="仿宋"/>
          <w:sz w:val="28"/>
          <w:szCs w:val="28"/>
          <w:highlight w:val="none"/>
          <w:vertAlign w:val="superscript"/>
        </w:rPr>
        <w:t>2</w:t>
      </w:r>
      <w:r>
        <w:rPr>
          <w:rFonts w:hint="eastAsia" w:ascii="仿宋" w:hAnsi="仿宋" w:eastAsia="宋体" w:cs="仿宋"/>
          <w:sz w:val="28"/>
          <w:szCs w:val="28"/>
          <w:highlight w:val="none"/>
        </w:rPr>
        <w:t>。</w:t>
      </w:r>
    </w:p>
    <w:p w14:paraId="4E3FFD5B">
      <w:pPr>
        <w:keepNext w:val="0"/>
        <w:keepLines w:val="0"/>
        <w:pageBreakBefore w:val="0"/>
        <w:widowControl w:val="0"/>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highlight w:val="none"/>
        </w:rPr>
      </w:pPr>
      <w:r>
        <w:rPr>
          <w:rFonts w:hint="eastAsia" w:ascii="仿宋" w:hAnsi="仿宋" w:eastAsia="宋体" w:cs="仿宋"/>
          <w:sz w:val="28"/>
          <w:szCs w:val="28"/>
          <w:highlight w:val="none"/>
        </w:rPr>
        <w:t>本次资源量估算范围</w:t>
      </w:r>
      <w:r>
        <w:rPr>
          <w:rFonts w:hint="eastAsia" w:ascii="仿宋" w:hAnsi="仿宋" w:eastAsia="宋体" w:cs="仿宋"/>
          <w:sz w:val="28"/>
          <w:szCs w:val="28"/>
          <w:highlight w:val="yellow"/>
          <w:lang w:val="en-US" w:eastAsia="zh-CN"/>
        </w:rPr>
        <w:t>分两个部分</w:t>
      </w:r>
      <w:r>
        <w:rPr>
          <w:rFonts w:hint="eastAsia" w:ascii="仿宋" w:hAnsi="仿宋" w:eastAsia="宋体" w:cs="仿宋"/>
          <w:sz w:val="28"/>
          <w:szCs w:val="28"/>
          <w:highlight w:val="none"/>
          <w:lang w:val="en-US" w:eastAsia="zh-CN"/>
        </w:rPr>
        <w:t>。</w:t>
      </w:r>
      <w:r>
        <w:rPr>
          <w:rFonts w:hint="eastAsia" w:ascii="仿宋" w:hAnsi="仿宋" w:eastAsia="宋体" w:cs="仿宋"/>
          <w:sz w:val="28"/>
          <w:szCs w:val="28"/>
          <w:highlight w:val="yellow"/>
          <w:lang w:val="en-US" w:eastAsia="zh-CN"/>
        </w:rPr>
        <w:t>第一部分</w:t>
      </w:r>
      <w:r>
        <w:rPr>
          <w:rFonts w:hint="eastAsia" w:ascii="仿宋" w:hAnsi="仿宋" w:eastAsia="宋体" w:cs="仿宋"/>
          <w:sz w:val="28"/>
          <w:szCs w:val="28"/>
          <w:highlight w:val="none"/>
        </w:rPr>
        <w:t>与祥屹采矿许可证范围一致，由4个拐点圈定，面积0.2034km</w:t>
      </w:r>
      <w:r>
        <w:rPr>
          <w:rFonts w:hint="eastAsia" w:ascii="仿宋" w:hAnsi="仿宋" w:eastAsia="宋体" w:cs="仿宋"/>
          <w:sz w:val="28"/>
          <w:szCs w:val="28"/>
          <w:highlight w:val="none"/>
          <w:vertAlign w:val="superscript"/>
        </w:rPr>
        <w:t>2</w:t>
      </w:r>
      <w:r>
        <w:rPr>
          <w:rFonts w:hint="eastAsia" w:ascii="仿宋" w:hAnsi="仿宋" w:eastAsia="宋体" w:cs="仿宋"/>
          <w:sz w:val="28"/>
          <w:szCs w:val="28"/>
          <w:highlight w:val="none"/>
        </w:rPr>
        <w:t>，赋矿标高1410～1320m</w:t>
      </w:r>
      <w:r>
        <w:rPr>
          <w:rFonts w:hint="eastAsia" w:ascii="仿宋" w:hAnsi="仿宋" w:eastAsia="宋体" w:cs="仿宋"/>
          <w:sz w:val="28"/>
          <w:szCs w:val="28"/>
          <w:highlight w:val="none"/>
          <w:lang w:eastAsia="zh-CN"/>
        </w:rPr>
        <w:t>；</w:t>
      </w:r>
      <w:r>
        <w:rPr>
          <w:rFonts w:hint="eastAsia" w:ascii="仿宋" w:hAnsi="仿宋" w:eastAsia="宋体" w:cs="仿宋"/>
          <w:sz w:val="28"/>
          <w:szCs w:val="28"/>
          <w:highlight w:val="yellow"/>
          <w:lang w:eastAsia="zh-CN"/>
        </w:rPr>
        <w:t>第二部分</w:t>
      </w:r>
      <w:r>
        <w:rPr>
          <w:rFonts w:hint="eastAsia" w:ascii="仿宋" w:hAnsi="仿宋" w:eastAsia="宋体" w:cs="仿宋"/>
          <w:sz w:val="28"/>
          <w:szCs w:val="28"/>
          <w:highlight w:val="none"/>
        </w:rPr>
        <w:t>在金良采矿许可证范围与深部探矿权范围之内，由23个拐点（未包括剔除范围8个拐点坐标）圈定，面积0.3858km</w:t>
      </w:r>
      <w:r>
        <w:rPr>
          <w:rFonts w:hint="eastAsia" w:ascii="仿宋" w:hAnsi="仿宋" w:eastAsia="宋体" w:cs="仿宋"/>
          <w:sz w:val="28"/>
          <w:szCs w:val="28"/>
          <w:highlight w:val="none"/>
          <w:vertAlign w:val="superscript"/>
        </w:rPr>
        <w:t>2</w:t>
      </w:r>
      <w:r>
        <w:rPr>
          <w:rFonts w:hint="eastAsia" w:ascii="仿宋" w:hAnsi="仿宋" w:eastAsia="宋体" w:cs="仿宋"/>
          <w:sz w:val="28"/>
          <w:szCs w:val="28"/>
          <w:highlight w:val="none"/>
        </w:rPr>
        <w:t>，赋矿标高1488～1300m。</w:t>
      </w:r>
    </w:p>
    <w:p w14:paraId="07E76CF2">
      <w:pPr>
        <w:keepNext w:val="0"/>
        <w:keepLines w:val="0"/>
        <w:pageBreakBefore w:val="0"/>
        <w:widowControl w:val="0"/>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探矿证范围为经纬度坐标，采矿证范围为直角坐标，由于坐标转换误差导致采矿证面积较探矿证面积大0.0010km</w:t>
      </w:r>
      <w:r>
        <w:rPr>
          <w:rFonts w:hint="eastAsia" w:ascii="仿宋" w:hAnsi="仿宋" w:eastAsia="宋体" w:cs="仿宋"/>
          <w:sz w:val="28"/>
          <w:szCs w:val="28"/>
          <w:vertAlign w:val="superscript"/>
        </w:rPr>
        <w:t>2</w:t>
      </w:r>
      <w:r>
        <w:rPr>
          <w:rFonts w:hint="eastAsia" w:ascii="仿宋" w:hAnsi="仿宋" w:eastAsia="宋体" w:cs="仿宋"/>
          <w:sz w:val="28"/>
          <w:szCs w:val="28"/>
        </w:rPr>
        <w:t>。</w:t>
      </w:r>
    </w:p>
    <w:p w14:paraId="544B2E12">
      <w:pPr>
        <w:keepNext w:val="0"/>
        <w:keepLines w:val="0"/>
        <w:pageBreakBefore w:val="0"/>
        <w:widowControl w:val="0"/>
        <w:numPr>
          <w:ilvl w:val="0"/>
          <w:numId w:val="3"/>
        </w:numPr>
        <w:tabs>
          <w:tab w:val="left" w:pos="312"/>
        </w:tabs>
        <w:kinsoku/>
        <w:wordWrap/>
        <w:overflowPunct/>
        <w:topLinePunct w:val="0"/>
        <w:autoSpaceDE/>
        <w:autoSpaceDN/>
        <w:bidi w:val="0"/>
        <w:adjustRightInd w:val="0"/>
        <w:snapToGrid w:val="0"/>
        <w:spacing w:line="560" w:lineRule="exact"/>
        <w:ind w:left="0" w:leftChars="0" w:firstLine="420" w:firstLineChars="0"/>
        <w:jc w:val="both"/>
        <w:textAlignment w:val="auto"/>
        <w:rPr>
          <w:rFonts w:hint="eastAsia" w:ascii="仿宋" w:hAnsi="仿宋" w:eastAsia="宋体" w:cs="仿宋"/>
          <w:b/>
          <w:bCs/>
          <w:sz w:val="28"/>
          <w:szCs w:val="28"/>
        </w:rPr>
      </w:pPr>
      <w:r>
        <w:rPr>
          <w:rFonts w:hint="eastAsia" w:ascii="仿宋" w:hAnsi="仿宋" w:eastAsia="宋体" w:cs="仿宋"/>
          <w:sz w:val="28"/>
          <w:szCs w:val="28"/>
        </w:rPr>
        <w:t>申请开采区域</w:t>
      </w:r>
    </w:p>
    <w:p w14:paraId="63333E2E">
      <w:pPr>
        <w:keepNext w:val="0"/>
        <w:keepLines w:val="0"/>
        <w:pageBreakBefore w:val="0"/>
        <w:widowControl w:val="0"/>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根据拟申请的采矿权范围、资源量估算范围、露天采剥工程的分布范围，矿权人申请的开采区域由两个采区组成，其中金良采区由22个拐点（未包括剔除区域8个拐点）圈定，面积为0.3910km</w:t>
      </w:r>
      <w:r>
        <w:rPr>
          <w:rFonts w:hint="eastAsia" w:ascii="仿宋" w:hAnsi="仿宋" w:eastAsia="宋体" w:cs="仿宋"/>
          <w:sz w:val="28"/>
          <w:szCs w:val="28"/>
          <w:vertAlign w:val="superscript"/>
        </w:rPr>
        <w:t>2</w:t>
      </w:r>
      <w:r>
        <w:rPr>
          <w:rFonts w:hint="eastAsia" w:ascii="仿宋" w:hAnsi="仿宋" w:eastAsia="宋体" w:cs="仿宋"/>
          <w:sz w:val="28"/>
          <w:szCs w:val="28"/>
        </w:rPr>
        <w:t>，开采标高为1488～1300m，露天开拓工程由地表至1300m标高。祥屹采区由4个拐点圈定，面积为0.2034km</w:t>
      </w:r>
      <w:r>
        <w:rPr>
          <w:rFonts w:hint="eastAsia" w:ascii="仿宋" w:hAnsi="仿宋" w:eastAsia="宋体" w:cs="仿宋"/>
          <w:sz w:val="28"/>
          <w:szCs w:val="28"/>
          <w:vertAlign w:val="superscript"/>
        </w:rPr>
        <w:t>2</w:t>
      </w:r>
      <w:r>
        <w:rPr>
          <w:rFonts w:hint="eastAsia" w:ascii="仿宋" w:hAnsi="仿宋" w:eastAsia="宋体" w:cs="仿宋"/>
          <w:sz w:val="28"/>
          <w:szCs w:val="28"/>
        </w:rPr>
        <w:t>，开采标高为1410～1320m，露天开拓工程由地表至1320m标高。</w:t>
      </w:r>
    </w:p>
    <w:p w14:paraId="3FE55C27">
      <w:pPr>
        <w:keepNext w:val="0"/>
        <w:keepLines w:val="0"/>
        <w:pageBreakBefore w:val="0"/>
        <w:widowControl w:val="0"/>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申请开采区域符合自治区和鄂尔多斯市矿产资源规划的要求。</w:t>
      </w:r>
    </w:p>
    <w:p w14:paraId="5D0D1E28">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rPr>
      </w:pPr>
      <w:r>
        <w:rPr>
          <w:rFonts w:hint="eastAsia" w:ascii="黑体" w:hAnsi="黑体" w:eastAsia="黑体" w:cs="黑体"/>
          <w:b w:val="0"/>
          <w:bCs w:val="0"/>
          <w:snapToGrid/>
          <w:color w:val="auto"/>
          <w:spacing w:val="0"/>
          <w:w w:val="100"/>
          <w:sz w:val="28"/>
          <w:szCs w:val="28"/>
          <w:highlight w:val="none"/>
        </w:rPr>
        <w:t>矿产资源开采</w:t>
      </w:r>
    </w:p>
    <w:p w14:paraId="5B4AC423">
      <w:pPr>
        <w:keepNext w:val="0"/>
        <w:keepLines w:val="0"/>
        <w:pageBreakBefore w:val="0"/>
        <w:widowControl w:val="0"/>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《开采方案》根据经评审备案的矿产资源储量报告确定的主要矿产为水泥用石灰岩。开采方式为露天开采，采用公路开拓汽车运输方案。</w:t>
      </w:r>
    </w:p>
    <w:p w14:paraId="5E536A39">
      <w:pPr>
        <w:keepNext w:val="0"/>
        <w:keepLines w:val="0"/>
        <w:pageBreakBefore w:val="0"/>
        <w:widowControl w:val="0"/>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矿区开采总顺序为：先开采金良采区</w:t>
      </w:r>
      <w:r>
        <w:rPr>
          <w:rFonts w:hint="eastAsia" w:ascii="仿宋" w:hAnsi="仿宋" w:eastAsia="宋体" w:cs="仿宋"/>
          <w:sz w:val="28"/>
          <w:szCs w:val="28"/>
          <w:lang w:eastAsia="zh-CN"/>
        </w:rPr>
        <w:t>，</w:t>
      </w:r>
      <w:r>
        <w:rPr>
          <w:rFonts w:hint="eastAsia" w:ascii="仿宋" w:hAnsi="仿宋" w:eastAsia="宋体" w:cs="仿宋"/>
          <w:sz w:val="28"/>
          <w:szCs w:val="28"/>
        </w:rPr>
        <w:t>接续开采祥屹采区。采区内矿体采用自上而下分台阶开采。</w:t>
      </w:r>
    </w:p>
    <w:p w14:paraId="411F020C">
      <w:pPr>
        <w:keepNext w:val="0"/>
        <w:keepLines w:val="0"/>
        <w:pageBreakBefore w:val="0"/>
        <w:widowControl w:val="0"/>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拟建生产规模为360万吨/年，全矿区剩余总服务年限21年，其中金良采区剩余服务年限约18年、祥屹采区剩余服务年限约3年。</w:t>
      </w:r>
    </w:p>
    <w:p w14:paraId="5D9E4B11">
      <w:pPr>
        <w:keepNext w:val="0"/>
        <w:keepLines w:val="0"/>
        <w:pageBreakBefore w:val="0"/>
        <w:widowControl w:val="0"/>
        <w:kinsoku/>
        <w:wordWrap/>
        <w:overflowPunct/>
        <w:topLinePunct w:val="0"/>
        <w:autoSpaceDE/>
        <w:autoSpaceDN/>
        <w:bidi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矿产资源开采方案合理。</w:t>
      </w:r>
    </w:p>
    <w:p w14:paraId="1CB2BAAC">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rPr>
      </w:pPr>
      <w:r>
        <w:rPr>
          <w:rFonts w:hint="eastAsia" w:ascii="黑体" w:hAnsi="黑体" w:eastAsia="黑体" w:cs="黑体"/>
          <w:b w:val="0"/>
          <w:bCs w:val="0"/>
          <w:snapToGrid/>
          <w:color w:val="auto"/>
          <w:spacing w:val="0"/>
          <w:w w:val="100"/>
          <w:sz w:val="28"/>
          <w:szCs w:val="28"/>
          <w:highlight w:val="none"/>
        </w:rPr>
        <w:t>矿产资源综合利用</w:t>
      </w:r>
    </w:p>
    <w:p w14:paraId="0FB016C1">
      <w:pPr>
        <w:keepNext w:val="0"/>
        <w:keepLines w:val="0"/>
        <w:pageBreakBefore w:val="0"/>
        <w:widowControl w:val="0"/>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 xml:space="preserve">《矿产资源“三率”指标要求 </w:t>
      </w:r>
      <w:r>
        <w:rPr>
          <w:rFonts w:hint="eastAsia" w:ascii="仿宋" w:hAnsi="仿宋" w:eastAsia="宋体" w:cs="仿宋"/>
          <w:sz w:val="28"/>
          <w:szCs w:val="28"/>
          <w:lang w:val="en-US" w:eastAsia="zh-CN"/>
        </w:rPr>
        <w:t xml:space="preserve"> </w:t>
      </w:r>
      <w:r>
        <w:rPr>
          <w:rFonts w:hint="eastAsia" w:ascii="仿宋" w:hAnsi="仿宋" w:eastAsia="宋体" w:cs="仿宋"/>
          <w:sz w:val="28"/>
          <w:szCs w:val="28"/>
        </w:rPr>
        <w:t>第6部分：石墨等26种非金属矿产》（DZ/T 0462.6-2023）中没有关于石灰岩矿共伴生资源、废石、废水等综合利用率的具体要求。本矿区无其他共伴生资源，不存在共伴生资源综合利用率。</w:t>
      </w:r>
    </w:p>
    <w:p w14:paraId="71659B6A">
      <w:pPr>
        <w:keepNext w:val="0"/>
        <w:keepLines w:val="0"/>
        <w:pageBreakBefore w:val="0"/>
        <w:widowControl w:val="0"/>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矿山的废石主要是石粉，主要用于电厂脱硫，废石综合利用率可达80%以上。</w:t>
      </w:r>
    </w:p>
    <w:p w14:paraId="62081F47">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rPr>
      </w:pPr>
      <w:r>
        <w:rPr>
          <w:rFonts w:hint="eastAsia" w:ascii="黑体" w:hAnsi="黑体" w:eastAsia="黑体" w:cs="黑体"/>
          <w:b w:val="0"/>
          <w:bCs w:val="0"/>
          <w:snapToGrid/>
          <w:color w:val="auto"/>
          <w:spacing w:val="0"/>
          <w:w w:val="100"/>
          <w:sz w:val="28"/>
          <w:szCs w:val="28"/>
          <w:highlight w:val="none"/>
        </w:rPr>
        <w:t>矿产资源“三率”指标</w:t>
      </w:r>
    </w:p>
    <w:p w14:paraId="6CA4C4AD">
      <w:pPr>
        <w:keepNext w:val="0"/>
        <w:keepLines w:val="0"/>
        <w:pageBreakBefore w:val="0"/>
        <w:widowControl w:val="0"/>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矿业权人必须采取有效措施确保“三率”指标达到国家有关标准要求。</w:t>
      </w:r>
    </w:p>
    <w:p w14:paraId="081A118B">
      <w:pPr>
        <w:keepNext w:val="0"/>
        <w:keepLines w:val="0"/>
        <w:pageBreakBefore w:val="0"/>
        <w:widowControl w:val="0"/>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《开采方案》推荐开采回采率95%，满足《矿产资源“三率”指标要求</w:t>
      </w:r>
      <w:r>
        <w:rPr>
          <w:rFonts w:hint="eastAsia" w:ascii="仿宋" w:hAnsi="仿宋" w:eastAsia="宋体" w:cs="仿宋"/>
          <w:sz w:val="28"/>
          <w:szCs w:val="28"/>
          <w:lang w:val="en-US" w:eastAsia="zh-CN"/>
        </w:rPr>
        <w:t xml:space="preserve">  </w:t>
      </w:r>
      <w:r>
        <w:rPr>
          <w:rFonts w:hint="eastAsia" w:ascii="仿宋" w:hAnsi="仿宋" w:eastAsia="宋体" w:cs="仿宋"/>
          <w:sz w:val="28"/>
          <w:szCs w:val="28"/>
        </w:rPr>
        <w:t>第6部分：石墨等26种非金属矿产》（DZ/T 0462.6-2023）中规定的露天开采石灰岩矿山开采回采率不低于95%的一般指标要求。</w:t>
      </w:r>
    </w:p>
    <w:p w14:paraId="6B1FBC2A">
      <w:pPr>
        <w:keepNext w:val="0"/>
        <w:keepLines w:val="0"/>
        <w:pageBreakBefore w:val="0"/>
        <w:widowControl w:val="0"/>
        <w:kinsoku/>
        <w:wordWrap/>
        <w:overflowPunct/>
        <w:topLinePunct w:val="0"/>
        <w:autoSpaceDE/>
        <w:autoSpaceDN/>
        <w:bidi w:val="0"/>
        <w:snapToGrid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石灰岩矿没有选矿回收率的具体要求，矿山仅对矿石进行简单的破碎—分级，分为不同粒级的产品，基本均可以回收利用，矿山选矿回收率可达95%以上。</w:t>
      </w:r>
    </w:p>
    <w:p w14:paraId="3B8279B7">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rPr>
      </w:pPr>
      <w:r>
        <w:rPr>
          <w:rFonts w:hint="eastAsia" w:ascii="黑体" w:hAnsi="黑体" w:eastAsia="黑体" w:cs="黑体"/>
          <w:b w:val="0"/>
          <w:bCs w:val="0"/>
          <w:snapToGrid/>
          <w:color w:val="auto"/>
          <w:spacing w:val="0"/>
          <w:w w:val="100"/>
          <w:sz w:val="28"/>
          <w:szCs w:val="28"/>
          <w:highlight w:val="none"/>
        </w:rPr>
        <w:t>说明与建议</w:t>
      </w:r>
    </w:p>
    <w:p w14:paraId="17842F09">
      <w:pPr>
        <w:keepNext w:val="0"/>
        <w:keepLines w:val="0"/>
        <w:pageBreakBefore w:val="0"/>
        <w:widowControl w:val="0"/>
        <w:kinsoku/>
        <w:wordWrap/>
        <w:overflowPunct/>
        <w:topLinePunct w:val="0"/>
        <w:autoSpaceDE/>
        <w:autoSpaceDN/>
        <w:bidi w:val="0"/>
        <w:spacing w:line="560" w:lineRule="exact"/>
        <w:ind w:left="0" w:leftChars="0" w:firstLine="560" w:firstLineChars="200"/>
        <w:jc w:val="both"/>
        <w:textAlignment w:val="auto"/>
        <w:rPr>
          <w:rFonts w:hint="eastAsia" w:ascii="仿宋" w:hAnsi="仿宋" w:eastAsia="宋体" w:cs="仿宋"/>
          <w:sz w:val="28"/>
          <w:szCs w:val="28"/>
        </w:rPr>
      </w:pPr>
      <w:r>
        <w:rPr>
          <w:rFonts w:hint="eastAsia" w:ascii="仿宋" w:hAnsi="仿宋" w:eastAsia="宋体" w:cs="仿宋"/>
          <w:sz w:val="28"/>
          <w:szCs w:val="28"/>
        </w:rPr>
        <w:t>矿山建设、生产中须严格执行安全、生态保护等规定。矿山安全、环境影响评价、矿区生态修复、水土保持等按照各相应主管部门审批的方案执行。</w:t>
      </w:r>
    </w:p>
    <w:p w14:paraId="450D1FAC">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rPr>
      </w:pPr>
      <w:r>
        <w:rPr>
          <w:rFonts w:hint="eastAsia" w:ascii="黑体" w:hAnsi="黑体" w:eastAsia="黑体" w:cs="黑体"/>
          <w:b w:val="0"/>
          <w:bCs w:val="0"/>
          <w:snapToGrid/>
          <w:color w:val="auto"/>
          <w:spacing w:val="0"/>
          <w:w w:val="100"/>
          <w:sz w:val="28"/>
          <w:szCs w:val="28"/>
          <w:highlight w:val="none"/>
        </w:rPr>
        <w:t>评审结论</w:t>
      </w:r>
    </w:p>
    <w:p w14:paraId="2384D431">
      <w:pPr>
        <w:keepNext w:val="0"/>
        <w:keepLines w:val="0"/>
        <w:pageBreakBefore w:val="0"/>
        <w:widowControl w:val="0"/>
        <w:kinsoku/>
        <w:wordWrap/>
        <w:overflowPunct/>
        <w:topLinePunct w:val="0"/>
        <w:autoSpaceDE/>
        <w:autoSpaceDN/>
        <w:bidi w:val="0"/>
        <w:spacing w:line="560" w:lineRule="exact"/>
        <w:ind w:left="0" w:leftChars="0" w:firstLine="560" w:firstLineChars="200"/>
        <w:jc w:val="both"/>
        <w:textAlignment w:val="auto"/>
        <w:rPr>
          <w:rFonts w:hint="eastAsia" w:ascii="宋体" w:hAnsi="宋体" w:eastAsia="宋体"/>
          <w:sz w:val="28"/>
          <w:szCs w:val="28"/>
        </w:rPr>
      </w:pPr>
      <w:r>
        <w:rPr>
          <w:rFonts w:hint="eastAsia" w:ascii="仿宋" w:hAnsi="仿宋" w:eastAsia="宋体" w:cs="仿宋"/>
          <w:sz w:val="28"/>
          <w:szCs w:val="28"/>
        </w:rPr>
        <w:t>《开采方案》符合《内蒙古自治区自然资源厅关于做好&lt;矿产资源法&gt;实施衔接过渡期矿产资源勘查方案、开采方案评审工作的公告》（公告〔2025〕27号）和《内蒙古自治区自然资源厅关于发布矿产资源勘查方案、开采方案评审临时服务指南的公告》</w:t>
      </w:r>
      <w:r>
        <w:rPr>
          <w:rFonts w:hint="eastAsia" w:ascii="仿宋" w:hAnsi="仿宋" w:eastAsia="宋体" w:cs="仿宋"/>
          <w:sz w:val="28"/>
          <w:szCs w:val="28"/>
          <w:lang w:eastAsia="zh-CN"/>
        </w:rPr>
        <w:t>（</w:t>
      </w:r>
      <w:r>
        <w:rPr>
          <w:rFonts w:hint="eastAsia" w:ascii="仿宋" w:hAnsi="仿宋" w:eastAsia="宋体" w:cs="仿宋"/>
          <w:sz w:val="28"/>
          <w:szCs w:val="28"/>
        </w:rPr>
        <w:t>公告〔2025〕30号</w:t>
      </w:r>
      <w:r>
        <w:rPr>
          <w:rFonts w:hint="eastAsia" w:ascii="仿宋" w:hAnsi="仿宋" w:eastAsia="宋体" w:cs="仿宋"/>
          <w:sz w:val="28"/>
          <w:szCs w:val="28"/>
          <w:lang w:eastAsia="zh-CN"/>
        </w:rPr>
        <w:t>）</w:t>
      </w:r>
      <w:r>
        <w:rPr>
          <w:rFonts w:hint="eastAsia" w:ascii="仿宋" w:hAnsi="仿宋" w:eastAsia="宋体" w:cs="仿宋"/>
          <w:sz w:val="28"/>
          <w:szCs w:val="28"/>
        </w:rPr>
        <w:t>等文件要求，同意通过评审。</w:t>
      </w:r>
    </w:p>
    <w:p w14:paraId="226A8B0F">
      <w:pPr>
        <w:keepNext w:val="0"/>
        <w:keepLines w:val="0"/>
        <w:pageBreakBefore w:val="0"/>
        <w:widowControl w:val="0"/>
        <w:kinsoku/>
        <w:wordWrap/>
        <w:overflowPunct/>
        <w:topLinePunct w:val="0"/>
        <w:autoSpaceDE/>
        <w:autoSpaceDN/>
        <w:bidi w:val="0"/>
        <w:spacing w:line="560" w:lineRule="exact"/>
        <w:ind w:left="0" w:leftChars="0" w:firstLine="560" w:firstLineChars="200"/>
        <w:jc w:val="both"/>
        <w:textAlignment w:val="auto"/>
        <w:rPr>
          <w:rFonts w:ascii="仿宋" w:hAnsi="仿宋" w:eastAsia="宋体" w:cs="仿宋"/>
          <w:sz w:val="28"/>
          <w:szCs w:val="28"/>
        </w:rPr>
      </w:pPr>
    </w:p>
    <w:p w14:paraId="00903B44">
      <w:pPr>
        <w:keepNext w:val="0"/>
        <w:keepLines w:val="0"/>
        <w:pageBreakBefore w:val="0"/>
        <w:widowControl w:val="0"/>
        <w:kinsoku/>
        <w:wordWrap/>
        <w:overflowPunct/>
        <w:topLinePunct w:val="0"/>
        <w:autoSpaceDE/>
        <w:autoSpaceDN/>
        <w:bidi w:val="0"/>
        <w:spacing w:line="560" w:lineRule="exact"/>
        <w:ind w:left="1376" w:leftChars="266" w:hanging="817" w:hangingChars="292"/>
        <w:jc w:val="both"/>
        <w:textAlignment w:val="auto"/>
        <w:rPr>
          <w:rFonts w:hint="eastAsia" w:ascii="仿宋" w:hAnsi="仿宋" w:eastAsia="宋体" w:cs="仿宋"/>
          <w:sz w:val="28"/>
          <w:szCs w:val="28"/>
        </w:rPr>
      </w:pPr>
      <w:r>
        <w:rPr>
          <w:rFonts w:hint="eastAsia" w:ascii="仿宋" w:hAnsi="仿宋" w:eastAsia="宋体" w:cs="仿宋"/>
          <w:sz w:val="28"/>
          <w:szCs w:val="28"/>
        </w:rPr>
        <w:t>附件：《鄂托克旗金良化工有限责任公司石灰石矿开采方案》评审专家组人员名单</w:t>
      </w:r>
    </w:p>
    <w:p w14:paraId="09EE33E9">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0" w:leftChars="0" w:firstLine="560" w:firstLineChars="200"/>
        <w:jc w:val="both"/>
        <w:textAlignment w:val="auto"/>
        <w:rPr>
          <w:rFonts w:hint="eastAsia" w:ascii="宋体" w:hAnsi="宋体" w:eastAsia="宋体"/>
          <w:color w:val="auto"/>
          <w:spacing w:val="0"/>
          <w:sz w:val="28"/>
          <w:szCs w:val="28"/>
          <w:highlight w:val="none"/>
        </w:rPr>
      </w:pPr>
    </w:p>
    <w:p w14:paraId="7034FCB4">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0" w:leftChars="0" w:firstLine="560" w:firstLineChars="200"/>
        <w:jc w:val="center"/>
        <w:textAlignment w:val="auto"/>
        <w:rPr>
          <w:rFonts w:hint="eastAsia" w:ascii="宋体" w:hAnsi="宋体" w:eastAsia="宋体" w:cs="宋体"/>
          <w:bCs/>
          <w:color w:val="auto"/>
          <w:spacing w:val="0"/>
          <w:w w:val="100"/>
          <w:sz w:val="28"/>
          <w:szCs w:val="28"/>
          <w:highlight w:val="none"/>
        </w:rPr>
      </w:pPr>
      <w:r>
        <w:rPr>
          <w:rFonts w:hint="eastAsia" w:ascii="宋体" w:hAnsi="宋体" w:eastAsia="宋体" w:cs="宋体"/>
          <w:bCs/>
          <w:color w:val="auto"/>
          <w:spacing w:val="0"/>
          <w:w w:val="100"/>
          <w:sz w:val="28"/>
          <w:szCs w:val="28"/>
          <w:highlight w:val="none"/>
          <w:lang w:val="en-US" w:eastAsia="zh-CN"/>
        </w:rPr>
        <w:t xml:space="preserve">                            </w:t>
      </w:r>
      <w:r>
        <w:rPr>
          <w:rFonts w:hint="eastAsia" w:ascii="宋体" w:hAnsi="宋体" w:eastAsia="宋体" w:cs="宋体"/>
          <w:bCs/>
          <w:color w:val="auto"/>
          <w:spacing w:val="0"/>
          <w:w w:val="100"/>
          <w:sz w:val="28"/>
          <w:szCs w:val="28"/>
          <w:highlight w:val="none"/>
        </w:rPr>
        <w:t>鄂尔多斯市地质调查监测院</w:t>
      </w:r>
    </w:p>
    <w:p w14:paraId="54067DC2">
      <w:pPr>
        <w:keepNext w:val="0"/>
        <w:keepLines w:val="0"/>
        <w:pageBreakBefore w:val="0"/>
        <w:widowControl w:val="0"/>
        <w:kinsoku/>
        <w:wordWrap/>
        <w:overflowPunct/>
        <w:topLinePunct w:val="0"/>
        <w:autoSpaceDE/>
        <w:autoSpaceDN/>
        <w:bidi w:val="0"/>
        <w:adjustRightInd/>
        <w:snapToGrid/>
        <w:spacing w:line="554" w:lineRule="exact"/>
        <w:ind w:left="0" w:leftChars="0" w:right="0" w:firstLine="560" w:firstLineChars="200"/>
        <w:jc w:val="center"/>
        <w:textAlignment w:val="auto"/>
        <w:rPr>
          <w:rFonts w:hint="eastAsia" w:ascii="宋体" w:hAnsi="宋体" w:eastAsia="宋体" w:cs="宋体"/>
          <w:color w:val="000000"/>
          <w:spacing w:val="0"/>
          <w:sz w:val="28"/>
          <w:szCs w:val="28"/>
          <w:lang w:val="en-US" w:eastAsia="zh-CN"/>
        </w:rPr>
      </w:pPr>
      <w:r>
        <w:rPr>
          <w:rFonts w:hint="eastAsia" w:ascii="宋体" w:hAnsi="宋体" w:eastAsia="宋体" w:cs="宋体"/>
          <w:bCs/>
          <w:color w:val="auto"/>
          <w:spacing w:val="0"/>
          <w:w w:val="100"/>
          <w:sz w:val="28"/>
          <w:szCs w:val="28"/>
          <w:highlight w:val="none"/>
          <w:lang w:val="en-US" w:eastAsia="zh-CN"/>
        </w:rPr>
        <w:t xml:space="preserve">                             </w:t>
      </w:r>
      <w:r>
        <w:rPr>
          <w:rFonts w:hint="eastAsia" w:ascii="宋体" w:hAnsi="宋体" w:eastAsia="宋体" w:cs="宋体"/>
          <w:bCs/>
          <w:color w:val="auto"/>
          <w:spacing w:val="0"/>
          <w:w w:val="100"/>
          <w:sz w:val="28"/>
          <w:szCs w:val="28"/>
          <w:highlight w:val="none"/>
        </w:rPr>
        <w:t>202</w:t>
      </w:r>
      <w:r>
        <w:rPr>
          <w:rFonts w:hint="eastAsia" w:ascii="宋体" w:hAnsi="宋体" w:eastAsia="宋体" w:cs="宋体"/>
          <w:bCs/>
          <w:color w:val="auto"/>
          <w:spacing w:val="0"/>
          <w:w w:val="100"/>
          <w:sz w:val="28"/>
          <w:szCs w:val="28"/>
          <w:highlight w:val="none"/>
          <w:lang w:val="en-US" w:eastAsia="zh-CN"/>
        </w:rPr>
        <w:t>5</w:t>
      </w:r>
      <w:r>
        <w:rPr>
          <w:rFonts w:hint="eastAsia" w:ascii="宋体" w:hAnsi="宋体" w:eastAsia="宋体" w:cs="宋体"/>
          <w:bCs/>
          <w:color w:val="auto"/>
          <w:spacing w:val="0"/>
          <w:w w:val="100"/>
          <w:sz w:val="28"/>
          <w:szCs w:val="28"/>
          <w:highlight w:val="none"/>
        </w:rPr>
        <w:t>年</w:t>
      </w:r>
      <w:r>
        <w:rPr>
          <w:rFonts w:hint="eastAsia" w:ascii="宋体" w:hAnsi="宋体" w:eastAsia="宋体" w:cs="宋体"/>
          <w:bCs/>
          <w:color w:val="auto"/>
          <w:spacing w:val="0"/>
          <w:w w:val="100"/>
          <w:sz w:val="28"/>
          <w:szCs w:val="28"/>
          <w:highlight w:val="none"/>
          <w:lang w:val="en-US" w:eastAsia="zh-CN"/>
        </w:rPr>
        <w:t>12</w:t>
      </w:r>
      <w:r>
        <w:rPr>
          <w:rFonts w:hint="eastAsia" w:ascii="宋体" w:hAnsi="宋体" w:eastAsia="宋体" w:cs="宋体"/>
          <w:bCs/>
          <w:color w:val="auto"/>
          <w:spacing w:val="0"/>
          <w:w w:val="100"/>
          <w:sz w:val="28"/>
          <w:szCs w:val="28"/>
          <w:highlight w:val="none"/>
        </w:rPr>
        <w:t>月</w:t>
      </w:r>
      <w:r>
        <w:rPr>
          <w:rFonts w:hint="eastAsia" w:ascii="宋体" w:hAnsi="宋体" w:eastAsia="宋体" w:cs="宋体"/>
          <w:bCs/>
          <w:color w:val="auto"/>
          <w:spacing w:val="0"/>
          <w:w w:val="100"/>
          <w:sz w:val="28"/>
          <w:szCs w:val="28"/>
          <w:highlight w:val="none"/>
          <w:lang w:val="en-US" w:eastAsia="zh-CN"/>
        </w:rPr>
        <w:t>16</w:t>
      </w:r>
      <w:r>
        <w:rPr>
          <w:rFonts w:hint="eastAsia" w:ascii="宋体" w:hAnsi="宋体" w:eastAsia="宋体" w:cs="宋体"/>
          <w:bCs/>
          <w:color w:val="auto"/>
          <w:spacing w:val="0"/>
          <w:w w:val="100"/>
          <w:sz w:val="28"/>
          <w:szCs w:val="28"/>
          <w:highlight w:val="none"/>
        </w:rPr>
        <w:t>日</w:t>
      </w:r>
    </w:p>
    <w:p w14:paraId="28D00B0B">
      <w:pPr>
        <w:rPr>
          <w:rFonts w:hint="eastAsia" w:ascii="宋体" w:hAnsi="宋体" w:eastAsia="宋体" w:cs="宋体"/>
          <w:color w:val="000000"/>
          <w:spacing w:val="0"/>
          <w:sz w:val="28"/>
          <w:szCs w:val="28"/>
          <w:lang w:val="en-US" w:eastAsia="zh-CN"/>
        </w:rPr>
      </w:pPr>
    </w:p>
    <w:p w14:paraId="0BEFD1A0">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lang w:eastAsia="zh-CN"/>
        </w:rPr>
      </w:pPr>
      <w:bookmarkStart w:id="3" w:name="_GoBack"/>
      <w:bookmarkEnd w:id="3"/>
    </w:p>
    <w:sectPr>
      <w:footerReference r:id="rId7" w:type="first"/>
      <w:headerReference r:id="rId5" w:type="default"/>
      <w:footerReference r:id="rId6" w:type="default"/>
      <w:pgSz w:w="11906" w:h="16838"/>
      <w:pgMar w:top="2098" w:right="1474" w:bottom="1984" w:left="1587" w:header="720" w:footer="720" w:gutter="0"/>
      <w:pgNumType w:fmt="decimal"/>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2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FA83B">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7FAA4">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8C62E">
    <w:pPr>
      <w:pStyle w:val="15"/>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5808D3">
                          <w:pPr>
                            <w:pStyle w:val="15"/>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C5808D3">
                    <w:pPr>
                      <w:pStyle w:val="15"/>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B3D52">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C80E6D">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5C80E6D">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1A9D8">
    <w:pPr>
      <w:pStyle w:val="16"/>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7B4F9D"/>
    <w:multiLevelType w:val="singleLevel"/>
    <w:tmpl w:val="A07B4F9D"/>
    <w:lvl w:ilvl="0" w:tentative="0">
      <w:start w:val="1"/>
      <w:numFmt w:val="chineseCounting"/>
      <w:suff w:val="nothing"/>
      <w:lvlText w:val="（%1）"/>
      <w:lvlJc w:val="left"/>
      <w:pPr>
        <w:ind w:left="0" w:firstLine="420"/>
      </w:pPr>
      <w:rPr>
        <w:rFonts w:hint="eastAsia"/>
        <w:b w:val="0"/>
        <w:bCs w:val="0"/>
      </w:rPr>
    </w:lvl>
  </w:abstractNum>
  <w:abstractNum w:abstractNumId="1">
    <w:nsid w:val="AE87F21D"/>
    <w:multiLevelType w:val="singleLevel"/>
    <w:tmpl w:val="AE87F21D"/>
    <w:lvl w:ilvl="0" w:tentative="0">
      <w:start w:val="1"/>
      <w:numFmt w:val="chineseCounting"/>
      <w:suff w:val="nothing"/>
      <w:lvlText w:val="%1、"/>
      <w:lvlJc w:val="left"/>
      <w:pPr>
        <w:ind w:left="0" w:firstLine="420"/>
      </w:pPr>
      <w:rPr>
        <w:rFonts w:hint="eastAsia" w:ascii="黑体" w:hAnsi="黑体" w:eastAsia="黑体" w:cs="黑体"/>
        <w:sz w:val="28"/>
        <w:szCs w:val="28"/>
      </w:rPr>
    </w:lvl>
  </w:abstractNum>
  <w:abstractNum w:abstractNumId="2">
    <w:nsid w:val="D6629EE0"/>
    <w:multiLevelType w:val="singleLevel"/>
    <w:tmpl w:val="D6629EE0"/>
    <w:lvl w:ilvl="0" w:tentative="0">
      <w:start w:val="1"/>
      <w:numFmt w:val="chineseCounting"/>
      <w:suff w:val="nothing"/>
      <w:lvlText w:val="（%1）"/>
      <w:lvlJc w:val="left"/>
      <w:pPr>
        <w:ind w:left="0" w:firstLine="420"/>
      </w:pPr>
      <w:rPr>
        <w:rFonts w:hint="eastAsia"/>
      </w:rPr>
    </w:lvl>
  </w:abstractNum>
  <w:abstractNum w:abstractNumId="3">
    <w:nsid w:val="EC57D148"/>
    <w:multiLevelType w:val="singleLevel"/>
    <w:tmpl w:val="EC57D148"/>
    <w:lvl w:ilvl="0" w:tentative="0">
      <w:start w:val="1"/>
      <w:numFmt w:val="decimal"/>
      <w:suff w:val="nothing"/>
      <w:lvlText w:val="%1．"/>
      <w:lvlJc w:val="left"/>
      <w:pPr>
        <w:ind w:left="0" w:firstLine="40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210"/>
  <w:drawingGridVerticalSpacing w:val="156"/>
  <w:displayHorizont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77F"/>
    <w:rsid w:val="00003308"/>
    <w:rsid w:val="00100258"/>
    <w:rsid w:val="001E1F59"/>
    <w:rsid w:val="0028677F"/>
    <w:rsid w:val="002C3B82"/>
    <w:rsid w:val="002E038E"/>
    <w:rsid w:val="003374F4"/>
    <w:rsid w:val="00407C87"/>
    <w:rsid w:val="004B04B3"/>
    <w:rsid w:val="004B6099"/>
    <w:rsid w:val="004B72FD"/>
    <w:rsid w:val="005657BF"/>
    <w:rsid w:val="00652A16"/>
    <w:rsid w:val="006F6999"/>
    <w:rsid w:val="007021A6"/>
    <w:rsid w:val="00797974"/>
    <w:rsid w:val="0084234C"/>
    <w:rsid w:val="00966644"/>
    <w:rsid w:val="00A90C74"/>
    <w:rsid w:val="00AC2EAC"/>
    <w:rsid w:val="00CA51A3"/>
    <w:rsid w:val="00EB3DE5"/>
    <w:rsid w:val="00F63A3A"/>
    <w:rsid w:val="00F84DF6"/>
    <w:rsid w:val="011E2303"/>
    <w:rsid w:val="0876526E"/>
    <w:rsid w:val="08F434D0"/>
    <w:rsid w:val="09A62D03"/>
    <w:rsid w:val="0A702E51"/>
    <w:rsid w:val="0E28406C"/>
    <w:rsid w:val="0F117D9D"/>
    <w:rsid w:val="12AA3E26"/>
    <w:rsid w:val="18270E06"/>
    <w:rsid w:val="1AAC19A8"/>
    <w:rsid w:val="1C6E6707"/>
    <w:rsid w:val="1E06786B"/>
    <w:rsid w:val="2F25208E"/>
    <w:rsid w:val="319C29C7"/>
    <w:rsid w:val="348827E8"/>
    <w:rsid w:val="3AC413CB"/>
    <w:rsid w:val="43B35FE0"/>
    <w:rsid w:val="49F9128D"/>
    <w:rsid w:val="4A5C2802"/>
    <w:rsid w:val="4C1272C8"/>
    <w:rsid w:val="4C373527"/>
    <w:rsid w:val="4F4E4CED"/>
    <w:rsid w:val="52237744"/>
    <w:rsid w:val="532644A8"/>
    <w:rsid w:val="538D6FF7"/>
    <w:rsid w:val="55FB7373"/>
    <w:rsid w:val="565B4181"/>
    <w:rsid w:val="5B0B381E"/>
    <w:rsid w:val="5C3B3A70"/>
    <w:rsid w:val="604C638B"/>
    <w:rsid w:val="662F6008"/>
    <w:rsid w:val="66A77FCB"/>
    <w:rsid w:val="73F2612A"/>
    <w:rsid w:val="7572763D"/>
    <w:rsid w:val="75CB792C"/>
    <w:rsid w:val="790518B9"/>
    <w:rsid w:val="796927DE"/>
    <w:rsid w:val="7C1508DF"/>
    <w:rsid w:val="7F1D6A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napToGrid w:val="0"/>
      <w:kern w:val="2"/>
      <w:sz w:val="21"/>
      <w:szCs w:val="22"/>
      <w:lang w:val="en-US" w:eastAsia="zh-CN" w:bidi="ar-SA"/>
    </w:rPr>
  </w:style>
  <w:style w:type="paragraph" w:styleId="3">
    <w:name w:val="heading 1"/>
    <w:basedOn w:val="1"/>
    <w:next w:val="1"/>
    <w:link w:val="23"/>
    <w:qFormat/>
    <w:uiPriority w:val="9"/>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4">
    <w:name w:val="heading 2"/>
    <w:basedOn w:val="1"/>
    <w:next w:val="1"/>
    <w:link w:val="24"/>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5">
    <w:name w:val="heading 3"/>
    <w:basedOn w:val="1"/>
    <w:next w:val="1"/>
    <w:link w:val="25"/>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6">
    <w:name w:val="heading 4"/>
    <w:basedOn w:val="1"/>
    <w:next w:val="1"/>
    <w:link w:val="26"/>
    <w:semiHidden/>
    <w:unhideWhenUsed/>
    <w:qFormat/>
    <w:uiPriority w:val="9"/>
    <w:pPr>
      <w:keepNext/>
      <w:keepLines/>
      <w:spacing w:before="80" w:after="40" w:line="278" w:lineRule="auto"/>
      <w:jc w:val="left"/>
      <w:outlineLvl w:val="3"/>
    </w:pPr>
    <w:rPr>
      <w:rFonts w:cstheme="majorBidi"/>
      <w:color w:val="104862" w:themeColor="accent1" w:themeShade="BF"/>
      <w:sz w:val="28"/>
      <w:szCs w:val="28"/>
      <w14:ligatures w14:val="standardContextual"/>
    </w:rPr>
  </w:style>
  <w:style w:type="paragraph" w:styleId="7">
    <w:name w:val="heading 5"/>
    <w:basedOn w:val="1"/>
    <w:next w:val="1"/>
    <w:link w:val="27"/>
    <w:semiHidden/>
    <w:unhideWhenUsed/>
    <w:qFormat/>
    <w:uiPriority w:val="9"/>
    <w:pPr>
      <w:keepNext/>
      <w:keepLines/>
      <w:spacing w:before="80" w:after="40" w:line="278" w:lineRule="auto"/>
      <w:jc w:val="left"/>
      <w:outlineLvl w:val="4"/>
    </w:pPr>
    <w:rPr>
      <w:rFonts w:cstheme="majorBidi"/>
      <w:color w:val="104862" w:themeColor="accent1" w:themeShade="BF"/>
      <w:sz w:val="24"/>
      <w:szCs w:val="24"/>
      <w14:ligatures w14:val="standardContextual"/>
    </w:rPr>
  </w:style>
  <w:style w:type="paragraph" w:styleId="8">
    <w:name w:val="heading 6"/>
    <w:basedOn w:val="1"/>
    <w:next w:val="1"/>
    <w:link w:val="28"/>
    <w:semiHidden/>
    <w:unhideWhenUsed/>
    <w:qFormat/>
    <w:uiPriority w:val="9"/>
    <w:pPr>
      <w:keepNext/>
      <w:keepLines/>
      <w:spacing w:before="40" w:line="278" w:lineRule="auto"/>
      <w:jc w:val="left"/>
      <w:outlineLvl w:val="5"/>
    </w:pPr>
    <w:rPr>
      <w:rFonts w:cstheme="majorBidi"/>
      <w:b/>
      <w:bCs/>
      <w:color w:val="104862" w:themeColor="accent1" w:themeShade="BF"/>
      <w:sz w:val="22"/>
      <w:szCs w:val="24"/>
      <w14:ligatures w14:val="standardContextual"/>
    </w:rPr>
  </w:style>
  <w:style w:type="paragraph" w:styleId="9">
    <w:name w:val="heading 7"/>
    <w:basedOn w:val="1"/>
    <w:next w:val="1"/>
    <w:link w:val="29"/>
    <w:semiHidden/>
    <w:unhideWhenUsed/>
    <w:qFormat/>
    <w:uiPriority w:val="9"/>
    <w:pPr>
      <w:keepNext/>
      <w:keepLines/>
      <w:spacing w:before="40" w:line="278" w:lineRule="auto"/>
      <w:jc w:val="left"/>
      <w:outlineLvl w:val="6"/>
    </w:pPr>
    <w:rPr>
      <w:rFonts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0">
    <w:name w:val="heading 8"/>
    <w:basedOn w:val="1"/>
    <w:next w:val="1"/>
    <w:link w:val="30"/>
    <w:semiHidden/>
    <w:unhideWhenUsed/>
    <w:qFormat/>
    <w:uiPriority w:val="9"/>
    <w:pPr>
      <w:keepNext/>
      <w:keepLines/>
      <w:spacing w:line="278" w:lineRule="auto"/>
      <w:jc w:val="left"/>
      <w:outlineLvl w:val="7"/>
    </w:pPr>
    <w:rPr>
      <w:rFonts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1">
    <w:name w:val="heading 9"/>
    <w:basedOn w:val="1"/>
    <w:next w:val="1"/>
    <w:link w:val="31"/>
    <w:semiHidden/>
    <w:unhideWhenUsed/>
    <w:qFormat/>
    <w:uiPriority w:val="9"/>
    <w:pPr>
      <w:keepNext/>
      <w:keepLines/>
      <w:spacing w:line="278" w:lineRule="auto"/>
      <w:jc w:val="left"/>
      <w:outlineLvl w:val="8"/>
    </w:pPr>
    <w:rPr>
      <w:rFonts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default="1" w:styleId="22">
    <w:name w:val="Default Paragraph Font"/>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style>
  <w:style w:type="paragraph" w:styleId="12">
    <w:name w:val="Body Text Indent"/>
    <w:basedOn w:val="1"/>
    <w:next w:val="1"/>
    <w:qFormat/>
    <w:uiPriority w:val="0"/>
    <w:pPr>
      <w:spacing w:after="120"/>
      <w:ind w:left="420" w:leftChars="200"/>
    </w:pPr>
  </w:style>
  <w:style w:type="paragraph" w:styleId="13">
    <w:name w:val="Plain Text"/>
    <w:basedOn w:val="1"/>
    <w:link w:val="41"/>
    <w:qFormat/>
    <w:uiPriority w:val="0"/>
    <w:rPr>
      <w:rFonts w:ascii="宋体" w:hAnsi="Courier New" w:cs="Courier New"/>
      <w:szCs w:val="21"/>
    </w:rPr>
  </w:style>
  <w:style w:type="paragraph" w:styleId="14">
    <w:name w:val="endnote text"/>
    <w:basedOn w:val="1"/>
    <w:qFormat/>
    <w:uiPriority w:val="0"/>
    <w:pPr>
      <w:snapToGrid w:val="0"/>
      <w:jc w:val="left"/>
    </w:pPr>
    <w:rPr>
      <w:sz w:val="21"/>
    </w:rPr>
  </w:style>
  <w:style w:type="paragraph" w:styleId="15">
    <w:name w:val="footer"/>
    <w:basedOn w:val="1"/>
    <w:link w:val="42"/>
    <w:qFormat/>
    <w:uiPriority w:val="99"/>
    <w:pPr>
      <w:tabs>
        <w:tab w:val="center" w:pos="4153"/>
        <w:tab w:val="right" w:pos="8306"/>
      </w:tabs>
      <w:snapToGrid w:val="0"/>
      <w:jc w:val="left"/>
    </w:pPr>
    <w:rPr>
      <w:sz w:val="18"/>
      <w:szCs w:val="18"/>
    </w:rPr>
  </w:style>
  <w:style w:type="paragraph" w:styleId="16">
    <w:name w:val="header"/>
    <w:basedOn w:val="1"/>
    <w:link w:val="44"/>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33"/>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8">
    <w:name w:val="Body Text Indent 3"/>
    <w:basedOn w:val="1"/>
    <w:link w:val="43"/>
    <w:qFormat/>
    <w:uiPriority w:val="99"/>
    <w:pPr>
      <w:ind w:firstLine="576" w:firstLineChars="200"/>
    </w:pPr>
    <w:rPr>
      <w:spacing w:val="4"/>
      <w:sz w:val="28"/>
    </w:rPr>
  </w:style>
  <w:style w:type="paragraph" w:styleId="19">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paragraph" w:styleId="20">
    <w:name w:val="Body Text First Indent 2"/>
    <w:basedOn w:val="1"/>
    <w:next w:val="12"/>
    <w:qFormat/>
    <w:uiPriority w:val="0"/>
    <w:pPr>
      <w:ind w:firstLine="420" w:firstLineChars="200"/>
    </w:pPr>
  </w:style>
  <w:style w:type="character" w:customStyle="1" w:styleId="23">
    <w:name w:val="标题 1 字符"/>
    <w:basedOn w:val="22"/>
    <w:link w:val="3"/>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2"/>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2"/>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2"/>
    <w:link w:val="6"/>
    <w:semiHidden/>
    <w:qFormat/>
    <w:uiPriority w:val="9"/>
    <w:rPr>
      <w:rFonts w:cstheme="majorBidi"/>
      <w:color w:val="104862" w:themeColor="accent1" w:themeShade="BF"/>
      <w:sz w:val="28"/>
      <w:szCs w:val="28"/>
    </w:rPr>
  </w:style>
  <w:style w:type="character" w:customStyle="1" w:styleId="27">
    <w:name w:val="标题 5 字符"/>
    <w:basedOn w:val="22"/>
    <w:link w:val="7"/>
    <w:semiHidden/>
    <w:qFormat/>
    <w:uiPriority w:val="9"/>
    <w:rPr>
      <w:rFonts w:cstheme="majorBidi"/>
      <w:color w:val="104862" w:themeColor="accent1" w:themeShade="BF"/>
      <w:sz w:val="24"/>
    </w:rPr>
  </w:style>
  <w:style w:type="character" w:customStyle="1" w:styleId="28">
    <w:name w:val="标题 6 字符"/>
    <w:basedOn w:val="22"/>
    <w:link w:val="8"/>
    <w:semiHidden/>
    <w:qFormat/>
    <w:uiPriority w:val="9"/>
    <w:rPr>
      <w:rFonts w:cstheme="majorBidi"/>
      <w:b/>
      <w:bCs/>
      <w:color w:val="104862" w:themeColor="accent1" w:themeShade="BF"/>
    </w:rPr>
  </w:style>
  <w:style w:type="character" w:customStyle="1" w:styleId="29">
    <w:name w:val="标题 7 字符"/>
    <w:basedOn w:val="22"/>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2"/>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2"/>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2"/>
    <w:link w:val="19"/>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2"/>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line="278" w:lineRule="auto"/>
      <w:jc w:val="center"/>
    </w:pPr>
    <w:rPr>
      <w:i/>
      <w:iCs/>
      <w:color w:val="404040" w:themeColor="text1" w:themeTint="BF"/>
      <w:sz w:val="22"/>
      <w:szCs w:val="24"/>
      <w14:textFill>
        <w14:solidFill>
          <w14:schemeClr w14:val="tx1">
            <w14:lumMod w14:val="75000"/>
            <w14:lumOff w14:val="25000"/>
          </w14:schemeClr>
        </w14:solidFill>
      </w14:textFill>
      <w14:ligatures w14:val="standardContextual"/>
    </w:rPr>
  </w:style>
  <w:style w:type="character" w:customStyle="1" w:styleId="35">
    <w:name w:val="引用 字符"/>
    <w:basedOn w:val="22"/>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spacing w:after="160" w:line="278" w:lineRule="auto"/>
      <w:ind w:left="720"/>
      <w:contextualSpacing/>
      <w:jc w:val="left"/>
    </w:pPr>
    <w:rPr>
      <w:sz w:val="22"/>
      <w:szCs w:val="24"/>
      <w14:ligatures w14:val="standardContextual"/>
    </w:rPr>
  </w:style>
  <w:style w:type="character" w:customStyle="1" w:styleId="37">
    <w:name w:val="明显强调1"/>
    <w:basedOn w:val="22"/>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104862" w:themeColor="accent1" w:themeShade="BF"/>
      <w:sz w:val="22"/>
      <w:szCs w:val="24"/>
      <w14:ligatures w14:val="standardContextual"/>
    </w:rPr>
  </w:style>
  <w:style w:type="character" w:customStyle="1" w:styleId="39">
    <w:name w:val="明显引用 字符"/>
    <w:basedOn w:val="22"/>
    <w:link w:val="38"/>
    <w:qFormat/>
    <w:uiPriority w:val="30"/>
    <w:rPr>
      <w:i/>
      <w:iCs/>
      <w:color w:val="104862" w:themeColor="accent1" w:themeShade="BF"/>
    </w:rPr>
  </w:style>
  <w:style w:type="character" w:customStyle="1" w:styleId="40">
    <w:name w:val="明显参考1"/>
    <w:basedOn w:val="22"/>
    <w:qFormat/>
    <w:uiPriority w:val="32"/>
    <w:rPr>
      <w:b/>
      <w:bCs/>
      <w:smallCaps/>
      <w:color w:val="104862" w:themeColor="accent1" w:themeShade="BF"/>
      <w:spacing w:val="5"/>
    </w:rPr>
  </w:style>
  <w:style w:type="character" w:customStyle="1" w:styleId="41">
    <w:name w:val="纯文本 字符"/>
    <w:basedOn w:val="22"/>
    <w:link w:val="13"/>
    <w:qFormat/>
    <w:uiPriority w:val="0"/>
    <w:rPr>
      <w:rFonts w:ascii="宋体" w:hAnsi="Courier New" w:cs="Courier New"/>
      <w:sz w:val="21"/>
      <w:szCs w:val="21"/>
      <w14:ligatures w14:val="none"/>
    </w:rPr>
  </w:style>
  <w:style w:type="character" w:customStyle="1" w:styleId="42">
    <w:name w:val="页脚 字符"/>
    <w:basedOn w:val="22"/>
    <w:link w:val="15"/>
    <w:qFormat/>
    <w:uiPriority w:val="99"/>
    <w:rPr>
      <w:sz w:val="18"/>
      <w:szCs w:val="18"/>
      <w14:ligatures w14:val="none"/>
    </w:rPr>
  </w:style>
  <w:style w:type="character" w:customStyle="1" w:styleId="43">
    <w:name w:val="正文文本缩进 3 字符"/>
    <w:basedOn w:val="22"/>
    <w:link w:val="18"/>
    <w:qFormat/>
    <w:uiPriority w:val="99"/>
    <w:rPr>
      <w:spacing w:val="4"/>
      <w:sz w:val="28"/>
      <w:szCs w:val="22"/>
      <w14:ligatures w14:val="none"/>
    </w:rPr>
  </w:style>
  <w:style w:type="character" w:customStyle="1" w:styleId="44">
    <w:name w:val="页眉 字符"/>
    <w:basedOn w:val="22"/>
    <w:link w:val="16"/>
    <w:qFormat/>
    <w:uiPriority w:val="99"/>
    <w:rPr>
      <w:sz w:val="18"/>
      <w:szCs w:val="18"/>
      <w14:ligatures w14:val="none"/>
    </w:rPr>
  </w:style>
  <w:style w:type="paragraph" w:customStyle="1" w:styleId="45">
    <w:name w:val="样式3"/>
    <w:basedOn w:val="1"/>
    <w:link w:val="46"/>
    <w:qFormat/>
    <w:uiPriority w:val="0"/>
    <w:pPr>
      <w:spacing w:line="360" w:lineRule="auto"/>
      <w:ind w:firstLine="520" w:firstLineChars="200"/>
    </w:pPr>
    <w:rPr>
      <w:rFonts w:ascii="宋体" w:hAnsi="宋体" w:eastAsia="宋体" w:cs="Times New Roman"/>
      <w:spacing w:val="-10"/>
      <w:kern w:val="0"/>
      <w:sz w:val="28"/>
      <w:szCs w:val="28"/>
    </w:rPr>
  </w:style>
  <w:style w:type="character" w:customStyle="1" w:styleId="46">
    <w:name w:val="样式3 Char"/>
    <w:link w:val="45"/>
    <w:qFormat/>
    <w:uiPriority w:val="0"/>
    <w:rPr>
      <w:rFonts w:ascii="宋体" w:hAnsi="宋体" w:eastAsia="宋体" w:cs="Times New Roman"/>
      <w:spacing w:val="-10"/>
      <w:kern w:val="0"/>
      <w:sz w:val="28"/>
      <w:szCs w:val="28"/>
      <w14:ligatures w14:val="none"/>
    </w:rPr>
  </w:style>
  <w:style w:type="paragraph" w:customStyle="1" w:styleId="47">
    <w:name w:val="样式15"/>
    <w:basedOn w:val="45"/>
    <w:link w:val="48"/>
    <w:qFormat/>
    <w:uiPriority w:val="0"/>
  </w:style>
  <w:style w:type="character" w:customStyle="1" w:styleId="48">
    <w:name w:val="样式15 Char"/>
    <w:link w:val="47"/>
    <w:qFormat/>
    <w:uiPriority w:val="0"/>
    <w:rPr>
      <w:rFonts w:ascii="宋体" w:hAnsi="宋体" w:eastAsia="宋体" w:cs="Times New Roman"/>
      <w:spacing w:val="-10"/>
      <w:kern w:val="0"/>
      <w:sz w:val="28"/>
      <w:szCs w:val="28"/>
      <w14:ligatures w14: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2606</Words>
  <Characters>3069</Characters>
  <Lines>22</Lines>
  <Paragraphs>6</Paragraphs>
  <TotalTime>0</TotalTime>
  <ScaleCrop>false</ScaleCrop>
  <LinksUpToDate>false</LinksUpToDate>
  <CharactersWithSpaces>3184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2025-11-24T08:44:00Z</dcterms:created>
  <dc:creator>翼蒙 张</dc:creator>
  <cp:lastModifiedBy>Roger1393936739</cp:lastModifiedBy>
  <dcterms:modified xsi:type="dcterms:W3CDTF">2025-12-19T08:54:20Z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eyJoZGlkIjoiNTY0ZWJmN2NiN2VlZDA4OGVjZTAxODkxY2I3MjFkODQiLCJ1c2VySWQiOiIxMjA4NTQ2MyJ9</vt:lpwstr>
  </property>
  <property fmtid="{D5CDD505-2E9C-101B-9397-08002B2CF9AE}" pid="3" name="KSOProductBuildVer">
    <vt:lpwstr>2052-12.1.0.20784</vt:lpwstr>
  </property>
  <property fmtid="{D5CDD505-2E9C-101B-9397-08002B2CF9AE}" pid="4" name="ICV">
    <vt:lpwstr>DCE6E384E7334EE398855AA13AB169F8_12</vt:lpwstr>
  </property>
</Properties>
</file>