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ind w:left="0" w:leftChars="0" w:firstLine="0" w:firstLineChars="0"/>
        <w:jc w:val="left"/>
        <w:rPr>
          <w:rFonts w:hint="eastAsia" w:ascii="黑体" w:hAnsi="黑体" w:eastAsia="黑体" w:cs="黑体"/>
          <w:color w:val="auto"/>
          <w:spacing w:val="0"/>
          <w:w w:val="100"/>
          <w:kern w:val="2"/>
          <w:sz w:val="32"/>
          <w:szCs w:val="32"/>
          <w:highlight w:val="none"/>
          <w:lang w:val="en-US" w:eastAsia="zh-CN" w:bidi="ar-SA"/>
        </w:rPr>
      </w:pPr>
      <w:r>
        <w:rPr>
          <w:rFonts w:hint="eastAsia" w:ascii="黑体" w:hAnsi="黑体" w:eastAsia="黑体" w:cs="黑体"/>
          <w:color w:val="auto"/>
          <w:spacing w:val="0"/>
          <w:w w:val="100"/>
          <w:kern w:val="2"/>
          <w:sz w:val="32"/>
          <w:szCs w:val="32"/>
          <w:highlight w:val="none"/>
          <w:lang w:val="en-US" w:eastAsia="zh-CN" w:bidi="ar-SA"/>
        </w:rPr>
        <w:t>附件1</w:t>
      </w:r>
    </w:p>
    <w:p>
      <w:pPr>
        <w:spacing w:before="312" w:beforeLines="100" w:after="312" w:afterLines="100" w:line="480" w:lineRule="auto"/>
        <w:rPr>
          <w:rFonts w:ascii="仿宋_GB2312" w:eastAsia="仿宋_GB2312"/>
          <w:sz w:val="44"/>
        </w:rPr>
      </w:pPr>
    </w:p>
    <w:p>
      <w:pPr>
        <w:spacing w:line="360" w:lineRule="auto"/>
        <w:ind w:right="280"/>
        <w:rPr>
          <w:rFonts w:ascii="仿宋_GB2312" w:eastAsia="仿宋_GB2312"/>
          <w:sz w:val="44"/>
        </w:rPr>
      </w:pPr>
    </w:p>
    <w:p>
      <w:pPr>
        <w:spacing w:line="360" w:lineRule="auto"/>
        <w:ind w:right="280"/>
        <w:jc w:val="center"/>
        <w:rPr>
          <w:rFonts w:hint="eastAsia" w:ascii="仿宋_GB2312" w:hAnsi="黑体" w:eastAsia="仿宋_GB2312"/>
          <w:sz w:val="44"/>
          <w:szCs w:val="44"/>
        </w:rPr>
      </w:pPr>
      <w:r>
        <w:rPr>
          <w:rFonts w:hint="eastAsia" w:ascii="仿宋_GB2312" w:hAnsi="黑体" w:eastAsia="仿宋_GB2312"/>
          <w:sz w:val="44"/>
          <w:szCs w:val="44"/>
        </w:rPr>
        <w:t>《鄂尔多斯市隆达实业集团有限责任公司石灰石矿开采方案》</w:t>
      </w:r>
    </w:p>
    <w:p>
      <w:pPr>
        <w:spacing w:before="312" w:beforeLines="100" w:after="312" w:afterLines="100" w:line="480" w:lineRule="auto"/>
        <w:jc w:val="center"/>
        <w:rPr>
          <w:rFonts w:hint="eastAsia" w:ascii="仿宋_GB2312" w:hAnsi="宋体" w:eastAsia="仿宋_GB2312"/>
          <w:b/>
          <w:sz w:val="52"/>
          <w:szCs w:val="52"/>
        </w:rPr>
      </w:pPr>
      <w:r>
        <w:rPr>
          <w:rFonts w:hint="eastAsia" w:ascii="仿宋_GB2312" w:hAnsi="宋体" w:eastAsia="仿宋_GB2312"/>
          <w:b/>
          <w:sz w:val="52"/>
          <w:szCs w:val="52"/>
          <w:lang w:eastAsia="zh-CN"/>
        </w:rPr>
        <w:t>评</w:t>
      </w:r>
      <w:r>
        <w:rPr>
          <w:rFonts w:hint="eastAsia" w:ascii="仿宋_GB2312" w:hAnsi="宋体" w:eastAsia="仿宋_GB2312"/>
          <w:b/>
          <w:sz w:val="52"/>
          <w:szCs w:val="52"/>
          <w:lang w:val="en-US" w:eastAsia="zh-CN"/>
        </w:rPr>
        <w:t xml:space="preserve">  </w:t>
      </w:r>
      <w:r>
        <w:rPr>
          <w:rFonts w:hint="eastAsia" w:ascii="仿宋_GB2312" w:hAnsi="宋体" w:eastAsia="仿宋_GB2312"/>
          <w:b/>
          <w:sz w:val="52"/>
          <w:szCs w:val="52"/>
          <w:lang w:eastAsia="zh-CN"/>
        </w:rPr>
        <w:t>审</w:t>
      </w:r>
      <w:r>
        <w:rPr>
          <w:rFonts w:hint="eastAsia" w:ascii="仿宋_GB2312" w:hAnsi="宋体" w:eastAsia="仿宋_GB2312"/>
          <w:b/>
          <w:sz w:val="52"/>
          <w:szCs w:val="52"/>
        </w:rPr>
        <w:t xml:space="preserve">  意  见  书</w:t>
      </w:r>
    </w:p>
    <w:p>
      <w:pPr>
        <w:spacing w:before="312" w:beforeLines="100" w:after="312" w:afterLines="100" w:line="480" w:lineRule="auto"/>
        <w:jc w:val="center"/>
        <w:rPr>
          <w:rFonts w:hint="eastAsia" w:ascii="仿宋" w:hAnsi="仿宋" w:eastAsia="仿宋" w:cs="仿宋"/>
          <w:color w:val="auto"/>
          <w:spacing w:val="0"/>
          <w:w w:val="100"/>
          <w:sz w:val="32"/>
          <w:szCs w:val="32"/>
          <w:highlight w:val="none"/>
        </w:rPr>
      </w:pPr>
      <w:r>
        <w:rPr>
          <w:rFonts w:hint="eastAsia" w:ascii="仿宋_GB2312" w:hAnsi="宋体" w:eastAsia="仿宋_GB2312"/>
          <w:sz w:val="32"/>
        </w:rPr>
        <w:t>鄂</w:t>
      </w:r>
      <w:r>
        <w:rPr>
          <w:rFonts w:hint="eastAsia" w:ascii="仿宋" w:hAnsi="仿宋" w:eastAsia="仿宋" w:cs="仿宋"/>
          <w:color w:val="auto"/>
          <w:spacing w:val="0"/>
          <w:w w:val="100"/>
          <w:sz w:val="32"/>
          <w:szCs w:val="32"/>
          <w:highlight w:val="none"/>
          <w:lang w:eastAsia="zh-CN"/>
        </w:rPr>
        <w:t>矿</w:t>
      </w:r>
      <w:r>
        <w:rPr>
          <w:rFonts w:hint="eastAsia" w:ascii="仿宋" w:hAnsi="仿宋" w:eastAsia="仿宋" w:cs="仿宋"/>
          <w:color w:val="auto"/>
          <w:spacing w:val="0"/>
          <w:w w:val="100"/>
          <w:sz w:val="32"/>
          <w:szCs w:val="32"/>
          <w:highlight w:val="none"/>
        </w:rPr>
        <w:t>审字〔202</w:t>
      </w:r>
      <w:r>
        <w:rPr>
          <w:rFonts w:hint="eastAsia" w:ascii="仿宋" w:hAnsi="仿宋" w:eastAsia="仿宋" w:cs="仿宋"/>
          <w:color w:val="auto"/>
          <w:spacing w:val="0"/>
          <w:w w:val="100"/>
          <w:sz w:val="32"/>
          <w:szCs w:val="32"/>
          <w:highlight w:val="none"/>
          <w:lang w:val="en-US" w:eastAsia="zh-CN"/>
        </w:rPr>
        <w:t>6</w:t>
      </w:r>
      <w:r>
        <w:rPr>
          <w:rFonts w:hint="eastAsia" w:ascii="仿宋" w:hAnsi="仿宋" w:eastAsia="仿宋" w:cs="仿宋"/>
          <w:color w:val="auto"/>
          <w:spacing w:val="0"/>
          <w:w w:val="100"/>
          <w:sz w:val="32"/>
          <w:szCs w:val="32"/>
          <w:highlight w:val="none"/>
        </w:rPr>
        <w:t>〕</w:t>
      </w:r>
      <w:r>
        <w:rPr>
          <w:rFonts w:hint="eastAsia" w:ascii="仿宋" w:hAnsi="仿宋" w:eastAsia="仿宋" w:cs="仿宋"/>
          <w:color w:val="auto"/>
          <w:spacing w:val="0"/>
          <w:w w:val="100"/>
          <w:sz w:val="32"/>
          <w:szCs w:val="32"/>
          <w:highlight w:val="none"/>
          <w:lang w:val="en-US" w:eastAsia="zh-CN"/>
        </w:rPr>
        <w:t>1</w:t>
      </w:r>
      <w:bookmarkStart w:id="0" w:name="_GoBack"/>
      <w:bookmarkEnd w:id="0"/>
      <w:r>
        <w:rPr>
          <w:rFonts w:hint="eastAsia" w:ascii="仿宋" w:hAnsi="仿宋" w:eastAsia="仿宋" w:cs="仿宋"/>
          <w:color w:val="auto"/>
          <w:spacing w:val="0"/>
          <w:w w:val="100"/>
          <w:sz w:val="32"/>
          <w:szCs w:val="32"/>
          <w:highlight w:val="none"/>
        </w:rPr>
        <w:t>号</w:t>
      </w:r>
    </w:p>
    <w:p>
      <w:pPr>
        <w:spacing w:before="312" w:beforeLines="100" w:after="312" w:afterLines="100" w:line="660" w:lineRule="exact"/>
        <w:jc w:val="center"/>
        <w:rPr>
          <w:rFonts w:hint="eastAsia" w:ascii="仿宋_GB2312" w:hAnsi="宋体" w:eastAsia="仿宋_GB2312"/>
          <w:sz w:val="44"/>
          <w:szCs w:val="36"/>
        </w:rPr>
      </w:pPr>
    </w:p>
    <w:p>
      <w:pPr>
        <w:spacing w:before="312" w:beforeLines="100" w:after="312" w:afterLines="100" w:line="600" w:lineRule="exact"/>
        <w:jc w:val="center"/>
        <w:rPr>
          <w:rFonts w:hint="eastAsia" w:ascii="仿宋_GB2312" w:hAnsi="宋体" w:eastAsia="仿宋_GB2312"/>
          <w:sz w:val="32"/>
          <w:szCs w:val="32"/>
        </w:rPr>
      </w:pPr>
    </w:p>
    <w:p>
      <w:pPr>
        <w:spacing w:before="312" w:beforeLines="100" w:after="312" w:afterLines="100" w:line="600" w:lineRule="exact"/>
        <w:jc w:val="center"/>
        <w:rPr>
          <w:rFonts w:hint="eastAsia" w:ascii="仿宋_GB2312" w:hAnsi="宋体" w:eastAsia="仿宋_GB2312"/>
          <w:sz w:val="32"/>
          <w:szCs w:val="32"/>
        </w:rPr>
      </w:pPr>
    </w:p>
    <w:p>
      <w:pPr>
        <w:spacing w:before="312" w:beforeLines="100" w:after="312" w:afterLines="100" w:line="600" w:lineRule="exact"/>
        <w:rPr>
          <w:rFonts w:hint="eastAsia" w:ascii="仿宋_GB2312" w:hAnsi="宋体" w:eastAsia="仿宋_GB2312"/>
          <w:sz w:val="32"/>
          <w:szCs w:val="32"/>
        </w:rPr>
      </w:pPr>
    </w:p>
    <w:p>
      <w:pPr>
        <w:spacing w:before="312" w:beforeLines="100" w:after="312" w:afterLines="100" w:line="600" w:lineRule="exact"/>
        <w:rPr>
          <w:rFonts w:hint="eastAsia" w:ascii="仿宋_GB2312" w:hAnsi="宋体" w:eastAsia="仿宋_GB2312"/>
          <w:sz w:val="32"/>
          <w:szCs w:val="32"/>
        </w:rPr>
      </w:pPr>
    </w:p>
    <w:p>
      <w:pPr>
        <w:spacing w:before="312" w:beforeLines="100" w:after="312" w:afterLines="100" w:line="600" w:lineRule="exact"/>
        <w:rPr>
          <w:rFonts w:hint="eastAsia" w:ascii="仿宋_GB2312" w:hAnsi="宋体" w:eastAsia="仿宋_GB2312"/>
          <w:sz w:val="32"/>
          <w:szCs w:val="32"/>
        </w:rPr>
      </w:pPr>
    </w:p>
    <w:p>
      <w:pPr>
        <w:spacing w:before="312" w:beforeLines="100" w:after="312" w:afterLines="100" w:line="600" w:lineRule="exact"/>
        <w:rPr>
          <w:rFonts w:hint="eastAsia" w:ascii="仿宋_GB2312" w:hAnsi="宋体" w:eastAsia="仿宋_GB2312"/>
          <w:sz w:val="32"/>
          <w:szCs w:val="32"/>
        </w:rPr>
      </w:pPr>
    </w:p>
    <w:p>
      <w:pPr>
        <w:spacing w:before="312" w:beforeLines="100" w:after="312" w:afterLines="100" w:line="600" w:lineRule="exact"/>
        <w:ind w:left="100"/>
        <w:jc w:val="center"/>
        <w:rPr>
          <w:rFonts w:hint="eastAsia" w:ascii="仿宋_GB2312" w:hAnsi="宋体" w:eastAsia="仿宋_GB2312"/>
          <w:sz w:val="32"/>
          <w:szCs w:val="32"/>
        </w:rPr>
      </w:pPr>
      <w:r>
        <w:rPr>
          <w:rFonts w:hint="eastAsia" w:ascii="仿宋_GB2312" w:hAnsi="宋体" w:eastAsia="仿宋_GB2312"/>
          <w:sz w:val="32"/>
          <w:szCs w:val="32"/>
        </w:rPr>
        <w:t>2026年 1月 5日</w:t>
      </w:r>
    </w:p>
    <w:p>
      <w:pPr>
        <w:spacing w:before="312" w:beforeLines="100" w:after="312" w:afterLines="100" w:line="600" w:lineRule="exact"/>
        <w:ind w:left="100"/>
        <w:jc w:val="center"/>
        <w:rPr>
          <w:rFonts w:hint="eastAsia" w:ascii="仿宋_GB2312" w:hAnsi="宋体" w:eastAsia="仿宋_GB2312"/>
          <w:sz w:val="32"/>
          <w:szCs w:val="32"/>
        </w:rPr>
        <w:sectPr>
          <w:headerReference r:id="rId4" w:type="first"/>
          <w:footerReference r:id="rId6" w:type="first"/>
          <w:headerReference r:id="rId3" w:type="even"/>
          <w:footerReference r:id="rId5" w:type="even"/>
          <w:pgSz w:w="11906" w:h="16838"/>
          <w:pgMar w:top="1440" w:right="1800" w:bottom="1440" w:left="1800" w:header="851" w:footer="992" w:gutter="0"/>
          <w:pgNumType w:start="0"/>
          <w:cols w:space="425" w:num="1"/>
          <w:docGrid w:type="lines" w:linePitch="312" w:charSpace="0"/>
        </w:sectPr>
      </w:pPr>
    </w:p>
    <w:p>
      <w:pPr>
        <w:spacing w:before="312" w:beforeLines="100" w:after="312" w:afterLines="100" w:line="600" w:lineRule="exact"/>
        <w:ind w:left="100"/>
        <w:jc w:val="center"/>
        <w:rPr>
          <w:rFonts w:hint="eastAsia" w:ascii="仿宋_GB2312" w:hAnsi="宋体" w:eastAsia="仿宋_GB2312"/>
          <w:sz w:val="32"/>
          <w:szCs w:val="32"/>
        </w:rPr>
      </w:pPr>
    </w:p>
    <w:p>
      <w:pPr>
        <w:spacing w:line="800" w:lineRule="exact"/>
        <w:jc w:val="left"/>
        <w:rPr>
          <w:rFonts w:hint="eastAsia" w:ascii="仿宋_GB2312" w:hAnsi="宋体" w:eastAsia="仿宋_GB2312"/>
          <w:sz w:val="32"/>
          <w:szCs w:val="32"/>
        </w:rPr>
      </w:pPr>
      <w:r>
        <w:rPr>
          <w:rFonts w:hint="eastAsia" w:ascii="仿宋_GB2312" w:hAnsi="宋体" w:eastAsia="仿宋_GB2312"/>
          <w:spacing w:val="80"/>
          <w:kern w:val="0"/>
          <w:sz w:val="32"/>
          <w:szCs w:val="32"/>
        </w:rPr>
        <w:t>申</w:t>
      </w:r>
      <w:r>
        <w:rPr>
          <w:rFonts w:hint="eastAsia" w:ascii="仿宋_GB2312" w:hAnsi="宋体" w:eastAsia="仿宋_GB2312"/>
          <w:sz w:val="32"/>
          <w:szCs w:val="32"/>
        </w:rPr>
        <w:t>请 单 位：鄂尔多斯市隆达实业集团有限责任公司</w:t>
      </w:r>
    </w:p>
    <w:p>
      <w:pPr>
        <w:spacing w:line="800" w:lineRule="exact"/>
        <w:jc w:val="left"/>
        <w:rPr>
          <w:rFonts w:hint="eastAsia" w:ascii="仿宋_GB2312" w:hAnsi="宋体" w:eastAsia="仿宋_GB2312"/>
          <w:sz w:val="32"/>
          <w:szCs w:val="32"/>
        </w:rPr>
      </w:pPr>
      <w:r>
        <w:rPr>
          <w:rFonts w:hint="eastAsia" w:ascii="仿宋_GB2312" w:hAnsi="宋体" w:eastAsia="仿宋_GB2312"/>
          <w:sz w:val="32"/>
          <w:szCs w:val="32"/>
        </w:rPr>
        <w:t>编 制 单 位：内蒙古地矿信息技术咨询服务有限责任公司</w:t>
      </w:r>
    </w:p>
    <w:p>
      <w:pPr>
        <w:spacing w:line="800" w:lineRule="exact"/>
        <w:jc w:val="left"/>
        <w:rPr>
          <w:rFonts w:hint="eastAsia" w:ascii="仿宋_GB2312" w:hAnsi="宋体" w:eastAsia="仿宋_GB2312"/>
          <w:sz w:val="32"/>
          <w:szCs w:val="32"/>
        </w:rPr>
      </w:pPr>
      <w:r>
        <w:rPr>
          <w:rFonts w:hint="eastAsia" w:ascii="仿宋_GB2312" w:hAnsi="宋体" w:eastAsia="仿宋_GB2312"/>
          <w:sz w:val="32"/>
          <w:szCs w:val="32"/>
        </w:rPr>
        <w:t>主要编写人：吴祥龙 赵成龙 赵燕飞 亢  强 苏海霞</w:t>
      </w:r>
    </w:p>
    <w:p>
      <w:pPr>
        <w:spacing w:line="800" w:lineRule="exact"/>
        <w:jc w:val="left"/>
        <w:rPr>
          <w:rFonts w:hint="eastAsia" w:ascii="仿宋_GB2312" w:hAnsi="宋体" w:eastAsia="仿宋_GB2312"/>
          <w:sz w:val="32"/>
          <w:szCs w:val="32"/>
        </w:rPr>
      </w:pPr>
      <w:r>
        <w:rPr>
          <w:rFonts w:hint="eastAsia" w:ascii="仿宋_GB2312" w:hAnsi="宋体" w:eastAsia="仿宋_GB2312"/>
          <w:spacing w:val="80"/>
          <w:kern w:val="0"/>
          <w:sz w:val="32"/>
          <w:szCs w:val="32"/>
        </w:rPr>
        <w:t>编制日期：</w:t>
      </w:r>
      <w:r>
        <w:rPr>
          <w:rFonts w:hint="eastAsia" w:ascii="仿宋_GB2312" w:hAnsi="宋体" w:eastAsia="仿宋_GB2312"/>
          <w:sz w:val="32"/>
          <w:szCs w:val="32"/>
        </w:rPr>
        <w:t>2025年9月</w:t>
      </w:r>
    </w:p>
    <w:p>
      <w:pPr>
        <w:spacing w:line="800" w:lineRule="exact"/>
        <w:jc w:val="left"/>
        <w:rPr>
          <w:rFonts w:hint="eastAsia" w:ascii="仿宋_GB2312" w:hAnsi="宋体" w:eastAsia="仿宋_GB2312"/>
          <w:sz w:val="32"/>
          <w:szCs w:val="32"/>
        </w:rPr>
      </w:pPr>
      <w:r>
        <w:rPr>
          <w:rFonts w:hint="eastAsia" w:ascii="仿宋_GB2312" w:hAnsi="宋体" w:eastAsia="仿宋_GB2312"/>
          <w:spacing w:val="80"/>
          <w:kern w:val="0"/>
          <w:sz w:val="32"/>
          <w:szCs w:val="32"/>
        </w:rPr>
        <w:t>受理日期：</w:t>
      </w:r>
      <w:r>
        <w:rPr>
          <w:rFonts w:hint="eastAsia" w:ascii="仿宋_GB2312" w:hAnsi="宋体" w:eastAsia="仿宋_GB2312"/>
          <w:sz w:val="32"/>
          <w:szCs w:val="32"/>
        </w:rPr>
        <w:t>2025年11月12日</w:t>
      </w:r>
    </w:p>
    <w:p>
      <w:pPr>
        <w:spacing w:line="800" w:lineRule="exact"/>
        <w:jc w:val="left"/>
        <w:rPr>
          <w:rFonts w:hint="eastAsia" w:ascii="仿宋_GB2312" w:hAnsi="宋体" w:eastAsia="仿宋_GB2312"/>
          <w:sz w:val="32"/>
          <w:szCs w:val="32"/>
        </w:rPr>
      </w:pPr>
      <w:r>
        <w:rPr>
          <w:rFonts w:hint="eastAsia" w:ascii="仿宋_GB2312" w:hAnsi="宋体" w:eastAsia="仿宋_GB2312"/>
          <w:spacing w:val="240"/>
          <w:kern w:val="0"/>
          <w:sz w:val="32"/>
          <w:szCs w:val="32"/>
        </w:rPr>
        <w:t>汇报</w:t>
      </w:r>
      <w:r>
        <w:rPr>
          <w:rFonts w:hint="eastAsia" w:ascii="仿宋_GB2312" w:hAnsi="宋体" w:eastAsia="仿宋_GB2312"/>
          <w:kern w:val="0"/>
          <w:sz w:val="32"/>
          <w:szCs w:val="32"/>
        </w:rPr>
        <w:t>人</w:t>
      </w:r>
      <w:r>
        <w:rPr>
          <w:rFonts w:hint="eastAsia" w:ascii="仿宋_GB2312" w:hAnsi="宋体" w:eastAsia="仿宋_GB2312"/>
          <w:sz w:val="32"/>
          <w:szCs w:val="32"/>
        </w:rPr>
        <w:t>：赵成龙</w:t>
      </w:r>
    </w:p>
    <w:p>
      <w:pPr>
        <w:spacing w:line="800" w:lineRule="exact"/>
        <w:jc w:val="left"/>
        <w:rPr>
          <w:rFonts w:hint="eastAsia" w:ascii="仿宋_GB2312" w:hAnsi="宋体" w:eastAsia="仿宋_GB2312"/>
          <w:sz w:val="32"/>
          <w:szCs w:val="32"/>
        </w:rPr>
      </w:pPr>
      <w:r>
        <w:rPr>
          <w:rFonts w:hint="eastAsia" w:ascii="仿宋_GB2312" w:hAnsi="宋体" w:eastAsia="仿宋_GB2312"/>
          <w:spacing w:val="40"/>
          <w:kern w:val="0"/>
          <w:sz w:val="32"/>
          <w:szCs w:val="32"/>
        </w:rPr>
        <w:t>审查专家</w:t>
      </w:r>
      <w:r>
        <w:rPr>
          <w:rFonts w:hint="eastAsia" w:ascii="仿宋_GB2312" w:hAnsi="宋体" w:eastAsia="仿宋_GB2312"/>
          <w:kern w:val="0"/>
          <w:sz w:val="32"/>
          <w:szCs w:val="32"/>
        </w:rPr>
        <w:t>组</w:t>
      </w:r>
    </w:p>
    <w:p>
      <w:pPr>
        <w:spacing w:line="800" w:lineRule="exact"/>
        <w:ind w:firstLine="960" w:firstLineChars="300"/>
        <w:jc w:val="left"/>
        <w:rPr>
          <w:rFonts w:hint="eastAsia" w:ascii="仿宋_GB2312" w:hAnsi="宋体" w:eastAsia="仿宋_GB2312"/>
          <w:sz w:val="32"/>
          <w:szCs w:val="32"/>
        </w:rPr>
      </w:pPr>
      <w:r>
        <w:rPr>
          <w:rFonts w:hint="eastAsia" w:ascii="仿宋_GB2312" w:hAnsi="宋体" w:eastAsia="仿宋_GB2312"/>
          <w:sz w:val="32"/>
          <w:szCs w:val="32"/>
        </w:rPr>
        <w:t>组  长：郝庆利（采矿工程）</w:t>
      </w:r>
    </w:p>
    <w:p>
      <w:pPr>
        <w:spacing w:line="800" w:lineRule="exact"/>
        <w:ind w:firstLine="960" w:firstLineChars="150"/>
        <w:jc w:val="left"/>
        <w:rPr>
          <w:rFonts w:hint="eastAsia" w:ascii="仿宋_GB2312" w:hAnsi="宋体" w:eastAsia="仿宋_GB2312"/>
          <w:sz w:val="32"/>
          <w:szCs w:val="32"/>
        </w:rPr>
      </w:pPr>
      <w:r>
        <w:rPr>
          <w:rFonts w:hint="eastAsia" w:ascii="仿宋_GB2312" w:hAnsi="宋体" w:eastAsia="仿宋_GB2312"/>
          <w:spacing w:val="160"/>
          <w:kern w:val="0"/>
          <w:sz w:val="32"/>
          <w:szCs w:val="32"/>
        </w:rPr>
        <w:t>成</w:t>
      </w:r>
      <w:r>
        <w:rPr>
          <w:rFonts w:hint="eastAsia" w:ascii="仿宋_GB2312" w:hAnsi="宋体" w:eastAsia="仿宋_GB2312"/>
          <w:kern w:val="0"/>
          <w:sz w:val="32"/>
          <w:szCs w:val="32"/>
        </w:rPr>
        <w:t>员</w:t>
      </w:r>
      <w:r>
        <w:rPr>
          <w:rFonts w:hint="eastAsia" w:ascii="仿宋_GB2312" w:hAnsi="宋体" w:eastAsia="仿宋_GB2312"/>
          <w:sz w:val="32"/>
          <w:szCs w:val="32"/>
        </w:rPr>
        <w:t>：孙利清（采矿工程）</w:t>
      </w:r>
    </w:p>
    <w:p>
      <w:pPr>
        <w:spacing w:line="800" w:lineRule="exact"/>
        <w:ind w:firstLine="2240" w:firstLineChars="700"/>
        <w:jc w:val="left"/>
        <w:rPr>
          <w:rFonts w:hint="eastAsia" w:ascii="仿宋_GB2312" w:hAnsi="宋体" w:eastAsia="仿宋_GB2312"/>
          <w:sz w:val="32"/>
          <w:szCs w:val="32"/>
        </w:rPr>
      </w:pPr>
      <w:r>
        <w:rPr>
          <w:rFonts w:hint="eastAsia" w:ascii="仿宋_GB2312" w:hAnsi="宋体" w:eastAsia="仿宋_GB2312"/>
          <w:sz w:val="32"/>
          <w:szCs w:val="32"/>
        </w:rPr>
        <w:t>闫宝宝（选 冶）</w:t>
      </w:r>
    </w:p>
    <w:p>
      <w:pPr>
        <w:spacing w:line="800" w:lineRule="exact"/>
        <w:ind w:firstLine="2240" w:firstLineChars="700"/>
        <w:jc w:val="left"/>
        <w:rPr>
          <w:rFonts w:hint="eastAsia" w:ascii="仿宋_GB2312" w:hAnsi="宋体" w:eastAsia="仿宋_GB2312"/>
          <w:sz w:val="32"/>
          <w:szCs w:val="32"/>
        </w:rPr>
      </w:pPr>
      <w:r>
        <w:rPr>
          <w:rFonts w:hint="eastAsia" w:ascii="仿宋_GB2312" w:hAnsi="宋体" w:eastAsia="仿宋_GB2312"/>
          <w:sz w:val="32"/>
          <w:szCs w:val="32"/>
        </w:rPr>
        <w:t>梁志宝（地质矿产）</w:t>
      </w:r>
    </w:p>
    <w:p>
      <w:pPr>
        <w:spacing w:line="800" w:lineRule="exact"/>
        <w:ind w:firstLine="2240" w:firstLineChars="700"/>
        <w:jc w:val="left"/>
        <w:rPr>
          <w:rFonts w:hint="eastAsia" w:ascii="仿宋_GB2312" w:hAnsi="宋体" w:eastAsia="仿宋_GB2312"/>
          <w:sz w:val="32"/>
          <w:szCs w:val="32"/>
        </w:rPr>
      </w:pPr>
      <w:r>
        <w:rPr>
          <w:rFonts w:hint="eastAsia" w:ascii="仿宋_GB2312" w:hAnsi="宋体" w:eastAsia="仿宋_GB2312"/>
          <w:sz w:val="32"/>
          <w:szCs w:val="32"/>
        </w:rPr>
        <w:t>张  娟（水工环）</w:t>
      </w:r>
    </w:p>
    <w:p>
      <w:pPr>
        <w:spacing w:line="800" w:lineRule="exact"/>
        <w:jc w:val="left"/>
        <w:rPr>
          <w:rFonts w:hint="eastAsia" w:ascii="仿宋_GB2312" w:hAnsi="宋体" w:eastAsia="仿宋_GB2312"/>
          <w:sz w:val="32"/>
          <w:szCs w:val="32"/>
        </w:rPr>
      </w:pPr>
      <w:r>
        <w:rPr>
          <w:rFonts w:hint="eastAsia" w:ascii="仿宋_GB2312" w:hAnsi="宋体" w:eastAsia="仿宋_GB2312"/>
          <w:spacing w:val="80"/>
          <w:kern w:val="0"/>
          <w:sz w:val="32"/>
          <w:szCs w:val="32"/>
        </w:rPr>
        <w:t>审查方式：</w:t>
      </w:r>
      <w:r>
        <w:rPr>
          <w:rFonts w:hint="eastAsia" w:ascii="仿宋_GB2312" w:eastAsia="仿宋_GB2312"/>
          <w:sz w:val="32"/>
        </w:rPr>
        <w:t>会议审查</w:t>
      </w:r>
    </w:p>
    <w:p>
      <w:pPr>
        <w:spacing w:line="800" w:lineRule="exact"/>
        <w:jc w:val="left"/>
        <w:rPr>
          <w:rFonts w:hint="eastAsia" w:ascii="仿宋_GB2312" w:hAnsi="宋体" w:eastAsia="仿宋_GB2312"/>
          <w:sz w:val="32"/>
          <w:szCs w:val="32"/>
        </w:rPr>
      </w:pPr>
      <w:r>
        <w:rPr>
          <w:rFonts w:hint="eastAsia" w:ascii="仿宋_GB2312" w:hAnsi="宋体" w:eastAsia="仿宋_GB2312"/>
          <w:spacing w:val="80"/>
          <w:kern w:val="0"/>
          <w:sz w:val="32"/>
          <w:szCs w:val="32"/>
        </w:rPr>
        <w:t>审查日期：</w:t>
      </w:r>
      <w:r>
        <w:rPr>
          <w:rFonts w:hint="eastAsia" w:ascii="仿宋_GB2312" w:hAnsi="宋体" w:eastAsia="仿宋_GB2312"/>
          <w:sz w:val="32"/>
          <w:szCs w:val="32"/>
        </w:rPr>
        <w:t>2025年11月18日</w:t>
      </w:r>
    </w:p>
    <w:p>
      <w:pPr>
        <w:spacing w:line="800" w:lineRule="exact"/>
        <w:jc w:val="left"/>
        <w:rPr>
          <w:rFonts w:hint="eastAsia" w:ascii="仿宋_GB2312" w:hAnsi="宋体" w:eastAsia="仿宋_GB2312"/>
          <w:sz w:val="32"/>
          <w:szCs w:val="32"/>
        </w:rPr>
      </w:pPr>
      <w:r>
        <w:rPr>
          <w:rFonts w:hint="eastAsia" w:ascii="仿宋_GB2312" w:hAnsi="宋体" w:eastAsia="仿宋_GB2312"/>
          <w:spacing w:val="80"/>
          <w:kern w:val="0"/>
          <w:sz w:val="32"/>
          <w:szCs w:val="32"/>
        </w:rPr>
        <w:t>审查地点：</w:t>
      </w:r>
      <w:r>
        <w:rPr>
          <w:rFonts w:hint="eastAsia" w:ascii="仿宋_GB2312" w:eastAsia="仿宋_GB2312"/>
          <w:sz w:val="32"/>
        </w:rPr>
        <w:t>呼和浩特市</w:t>
      </w:r>
    </w:p>
    <w:p>
      <w:pPr>
        <w:spacing w:line="500" w:lineRule="exact"/>
        <w:rPr>
          <w:bCs/>
        </w:rPr>
      </w:pPr>
      <w:r>
        <w:rPr>
          <w:rFonts w:hint="eastAsia"/>
          <w:bCs/>
        </w:rPr>
        <w:br w:type="page"/>
      </w:r>
    </w:p>
    <w:p>
      <w:pPr>
        <w:spacing w:line="560" w:lineRule="exact"/>
        <w:ind w:firstLine="560" w:firstLineChars="200"/>
        <w:rPr>
          <w:rFonts w:hint="eastAsia" w:ascii="仿宋" w:hAnsi="仿宋" w:eastAsia="仿宋"/>
          <w:bCs/>
          <w:sz w:val="28"/>
          <w:szCs w:val="28"/>
        </w:rPr>
      </w:pPr>
      <w:r>
        <w:rPr>
          <w:rFonts w:hint="eastAsia" w:ascii="仿宋" w:hAnsi="仿宋" w:eastAsia="仿宋"/>
          <w:bCs/>
          <w:sz w:val="28"/>
          <w:szCs w:val="28"/>
        </w:rPr>
        <w:t>受鄂尔多斯市自然资源局委托，鄂尔多斯市地质调查监测院依据《内蒙古自治区自然资源厅关于做好&lt;矿产资源法&gt;实施衔接过渡期矿产资源勘查方案、开采方案评审工作的公告》（公告〔2025〕27号）和《内蒙古自治区自然资源厅关于发布矿产资源勘查方案、开采方案评审临时服务指南的公告》（公告〔2025〕30号）等文件，于2025年11月18日在呼和浩特市组织专家对鄂尔多斯市隆达实业集团有限责任公司提交、内蒙古地矿信息技术咨询服务有限责任公司编制的《鄂尔多斯市隆达实业集团有限责任公司石灰石矿开采方案》（以下简称《开采方案》）进行了评审。会后提交单位按专家组意见对《开采方案》进行了修改完善，于2025年12月15日返回修改稿，经专家组复核后形成仅供矿业权管理使用的评审意见如下：</w:t>
      </w:r>
    </w:p>
    <w:p>
      <w:pPr>
        <w:spacing w:line="560" w:lineRule="exact"/>
        <w:ind w:firstLine="560" w:firstLineChars="200"/>
        <w:rPr>
          <w:rFonts w:ascii="Calibri" w:hAnsi="Calibri" w:eastAsia="宋体" w:cs="Times New Roman"/>
          <w:szCs w:val="21"/>
        </w:rPr>
      </w:pPr>
      <w:r>
        <w:rPr>
          <w:rFonts w:hint="eastAsia" w:ascii="黑体" w:hAnsi="黑体" w:eastAsia="黑体" w:cs="Times New Roman"/>
          <w:sz w:val="28"/>
          <w:szCs w:val="28"/>
        </w:rPr>
        <w:t>一、开采方案编制目的</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《开采方案》编制目的</w:t>
      </w:r>
      <w:r>
        <w:rPr>
          <w:rFonts w:ascii="仿宋" w:hAnsi="仿宋" w:eastAsia="仿宋"/>
          <w:sz w:val="28"/>
          <w:szCs w:val="28"/>
        </w:rPr>
        <w:t>属于</w:t>
      </w:r>
      <w:r>
        <w:rPr>
          <w:rFonts w:hint="eastAsia" w:ascii="仿宋" w:hAnsi="仿宋" w:eastAsia="仿宋"/>
          <w:sz w:val="28"/>
          <w:szCs w:val="28"/>
        </w:rPr>
        <w:t>采矿权扩大矿区范围。将原有的“鄂尔多斯市隆达实业集团有限责任公司石灰石矿”、“鄂尔多斯市程天雾矿业有限公司石灰石矿”和“鄂尔多斯市济金矿业有限公司石灰石矿”三个采矿权整合成1个采矿权，整合后的采矿权人为鄂尔多斯市隆达实业集团有限责任公司。</w:t>
      </w:r>
    </w:p>
    <w:p>
      <w:pPr>
        <w:spacing w:line="560" w:lineRule="exact"/>
        <w:ind w:firstLine="560" w:firstLineChars="200"/>
        <w:rPr>
          <w:rFonts w:ascii="Calibri" w:hAnsi="Calibri" w:eastAsia="宋体" w:cs="Times New Roman"/>
          <w:szCs w:val="21"/>
        </w:rPr>
      </w:pPr>
      <w:r>
        <w:rPr>
          <w:rFonts w:hint="eastAsia" w:ascii="黑体" w:hAnsi="黑体" w:eastAsia="黑体" w:cs="Times New Roman"/>
          <w:sz w:val="28"/>
          <w:szCs w:val="28"/>
        </w:rPr>
        <w:t>二、矿区地质与矿产资源情况</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依据《内蒙古自治区鄂托克旗鄂尔多斯市隆达实业集团有限责任公司矿区水泥用石灰岩矿资源储量核实报告》评审意见书（鄂自然资储评字〔2025〕8号）和</w:t>
      </w:r>
      <w:r>
        <w:rPr>
          <w:rFonts w:ascii="仿宋" w:hAnsi="仿宋" w:eastAsia="仿宋"/>
          <w:sz w:val="28"/>
          <w:szCs w:val="28"/>
        </w:rPr>
        <w:t>评审备案</w:t>
      </w:r>
      <w:r>
        <w:rPr>
          <w:rFonts w:hint="eastAsia" w:ascii="仿宋" w:hAnsi="仿宋" w:eastAsia="仿宋"/>
          <w:sz w:val="28"/>
          <w:szCs w:val="28"/>
        </w:rPr>
        <w:t>的复函（鄂自然资储备字〔2025〕10号），地质工作程度达到勘探，可以作为编制开采方案的依据。</w:t>
      </w:r>
    </w:p>
    <w:p>
      <w:pPr>
        <w:pStyle w:val="13"/>
        <w:spacing w:line="560" w:lineRule="exact"/>
        <w:rPr>
          <w:rFonts w:hint="eastAsia" w:ascii="仿宋" w:hAnsi="仿宋" w:eastAsia="仿宋"/>
        </w:rPr>
      </w:pPr>
      <w:r>
        <w:rPr>
          <w:rFonts w:hint="eastAsia" w:ascii="仿宋" w:hAnsi="仿宋" w:eastAsia="仿宋"/>
        </w:rPr>
        <w:t>截止2024年12月31日，矿区范围内保有资源量8364.6万吨，其中探明资源量2387.8万吨，控制资源量3287.7万吨，推断资源量2689.1万吨，其中，一采区保有资源量7570.5万吨，探明资源量2279.8万吨，控制资源量3107.2万吨，推断资源量2183.5万吨，二采区保有资源量332.8万吨，控制资源量180.5万吨，推断资源量152.3万吨，三采区保有资源量461.3万吨，探明资源量108.0万吨，推断资源量353.3万吨。矿床平均品位CaO 52.09%，MgO 1.40%。</w:t>
      </w:r>
    </w:p>
    <w:p>
      <w:pPr>
        <w:pStyle w:val="13"/>
        <w:spacing w:line="560" w:lineRule="exact"/>
        <w:rPr>
          <w:rFonts w:hint="eastAsia" w:ascii="仿宋" w:hAnsi="仿宋" w:eastAsia="仿宋"/>
        </w:rPr>
      </w:pPr>
      <w:r>
        <w:rPr>
          <w:rFonts w:hint="eastAsia" w:ascii="仿宋" w:hAnsi="仿宋" w:eastAsia="仿宋"/>
        </w:rPr>
        <w:t>矿石中其他组分含量较低，均未达到伴生元素综合利用指标要求。</w:t>
      </w:r>
    </w:p>
    <w:p>
      <w:pPr>
        <w:pStyle w:val="13"/>
        <w:spacing w:line="560" w:lineRule="exact"/>
        <w:rPr>
          <w:rFonts w:hint="eastAsia" w:ascii="仿宋" w:hAnsi="仿宋" w:eastAsia="仿宋"/>
        </w:rPr>
      </w:pPr>
      <w:r>
        <w:rPr>
          <w:rFonts w:hint="eastAsia" w:ascii="仿宋" w:hAnsi="仿宋" w:eastAsia="仿宋"/>
        </w:rPr>
        <w:t>《开采方案》采用资源量矿石量6396.9万吨，平均品位：CaO 52.09%，MgO 1.40%，其中一采区采用资源量为5952.1万吨，二采区采用资源量为143.9万吨，三采区采用资源量为300.9万吨。可采资源量矿石量</w:t>
      </w:r>
      <w:r>
        <w:rPr>
          <w:rFonts w:ascii="仿宋" w:hAnsi="仿宋" w:eastAsia="仿宋"/>
        </w:rPr>
        <w:t>6077.06</w:t>
      </w:r>
      <w:r>
        <w:rPr>
          <w:rFonts w:hint="eastAsia" w:ascii="仿宋" w:hAnsi="仿宋" w:eastAsia="仿宋"/>
        </w:rPr>
        <w:t>万吨，其中一采区可采资源量</w:t>
      </w:r>
      <w:r>
        <w:rPr>
          <w:rFonts w:ascii="仿宋" w:hAnsi="仿宋" w:eastAsia="仿宋"/>
        </w:rPr>
        <w:t>5654.49</w:t>
      </w:r>
      <w:r>
        <w:rPr>
          <w:rFonts w:hint="eastAsia" w:ascii="仿宋" w:hAnsi="仿宋" w:eastAsia="仿宋"/>
        </w:rPr>
        <w:t>万吨，采出矿石平均品位：CaO 52.10%，MgO 1.39%，二采区可采资源量</w:t>
      </w:r>
      <w:r>
        <w:rPr>
          <w:rFonts w:ascii="仿宋" w:hAnsi="仿宋" w:eastAsia="仿宋"/>
        </w:rPr>
        <w:t>136.71</w:t>
      </w:r>
      <w:r>
        <w:rPr>
          <w:rFonts w:hint="eastAsia" w:ascii="仿宋" w:hAnsi="仿宋" w:eastAsia="仿宋"/>
        </w:rPr>
        <w:t>万吨，采出矿石平均品位：CaO 52.99%，MgO 1.08%，三采区可采资源量</w:t>
      </w:r>
      <w:r>
        <w:rPr>
          <w:rFonts w:ascii="仿宋" w:hAnsi="仿宋" w:eastAsia="仿宋"/>
        </w:rPr>
        <w:t>285.86</w:t>
      </w:r>
      <w:r>
        <w:rPr>
          <w:rFonts w:hint="eastAsia" w:ascii="仿宋" w:hAnsi="仿宋" w:eastAsia="仿宋"/>
        </w:rPr>
        <w:t>万吨，采出矿石平均品位：CaO 51.87%，MgO 1.52%。</w:t>
      </w:r>
    </w:p>
    <w:p>
      <w:pPr>
        <w:spacing w:line="560" w:lineRule="exact"/>
        <w:ind w:firstLine="560" w:firstLineChars="200"/>
        <w:rPr>
          <w:rFonts w:ascii="Calibri" w:hAnsi="Calibri" w:eastAsia="宋体" w:cs="Times New Roman"/>
          <w:szCs w:val="21"/>
        </w:rPr>
      </w:pPr>
      <w:r>
        <w:rPr>
          <w:rFonts w:hint="eastAsia" w:ascii="黑体" w:hAnsi="黑体" w:eastAsia="黑体" w:cs="Times New Roman"/>
          <w:sz w:val="28"/>
          <w:szCs w:val="28"/>
        </w:rPr>
        <w:t>三、开采区域</w:t>
      </w:r>
    </w:p>
    <w:p>
      <w:pPr>
        <w:adjustRightInd w:val="0"/>
        <w:snapToGrid w:val="0"/>
        <w:spacing w:line="560" w:lineRule="exact"/>
        <w:ind w:firstLine="560" w:firstLineChars="200"/>
        <w:rPr>
          <w:rFonts w:hint="eastAsia" w:ascii="仿宋" w:hAnsi="仿宋" w:eastAsia="仿宋"/>
          <w:sz w:val="28"/>
          <w:szCs w:val="28"/>
        </w:rPr>
      </w:pPr>
      <w:r>
        <w:rPr>
          <w:rFonts w:hint="eastAsia" w:ascii="仿宋" w:hAnsi="仿宋" w:eastAsia="仿宋"/>
          <w:sz w:val="28"/>
          <w:szCs w:val="28"/>
        </w:rPr>
        <w:t>2022年7月12日，鄂尔多斯市自然资源局为鄂尔多斯市隆达实业集团有限责任公司石灰石矿颁发了《采矿许可证》（证号：</w:t>
      </w:r>
      <w:r>
        <w:rPr>
          <w:rFonts w:ascii="仿宋" w:hAnsi="仿宋" w:eastAsia="仿宋"/>
          <w:sz w:val="28"/>
          <w:szCs w:val="28"/>
        </w:rPr>
        <w:t>C1506002010127120091812</w:t>
      </w:r>
      <w:r>
        <w:rPr>
          <w:rFonts w:hint="eastAsia" w:ascii="仿宋" w:hAnsi="仿宋" w:eastAsia="仿宋"/>
          <w:sz w:val="28"/>
          <w:szCs w:val="28"/>
        </w:rPr>
        <w:t>），采矿权人：鄂尔多斯市隆达实业集团有限责任公司，矿区</w:t>
      </w:r>
      <w:r>
        <w:rPr>
          <w:rFonts w:ascii="仿宋" w:hAnsi="仿宋" w:eastAsia="仿宋"/>
          <w:sz w:val="28"/>
          <w:szCs w:val="28"/>
        </w:rPr>
        <w:t>面积0.7980</w:t>
      </w:r>
      <w:r>
        <w:rPr>
          <w:rFonts w:hint="eastAsia" w:ascii="仿宋" w:hAnsi="仿宋" w:eastAsia="仿宋"/>
          <w:sz w:val="28"/>
          <w:szCs w:val="28"/>
        </w:rPr>
        <w:t>平方公里</w:t>
      </w:r>
      <w:r>
        <w:rPr>
          <w:rFonts w:ascii="仿宋" w:hAnsi="仿宋" w:eastAsia="仿宋"/>
          <w:sz w:val="28"/>
          <w:szCs w:val="28"/>
        </w:rPr>
        <w:t>，</w:t>
      </w:r>
      <w:r>
        <w:rPr>
          <w:rFonts w:hint="eastAsia" w:ascii="仿宋" w:hAnsi="仿宋" w:eastAsia="仿宋"/>
          <w:sz w:val="28"/>
          <w:szCs w:val="28"/>
        </w:rPr>
        <w:t>开采方式为露天开采，</w:t>
      </w:r>
      <w:r>
        <w:rPr>
          <w:rFonts w:ascii="仿宋" w:hAnsi="仿宋" w:eastAsia="仿宋"/>
          <w:sz w:val="28"/>
          <w:szCs w:val="28"/>
        </w:rPr>
        <w:t>开采</w:t>
      </w:r>
      <w:r>
        <w:rPr>
          <w:rFonts w:hint="eastAsia" w:ascii="仿宋" w:hAnsi="仿宋" w:eastAsia="仿宋"/>
          <w:sz w:val="28"/>
          <w:szCs w:val="28"/>
        </w:rPr>
        <w:t>深度由1450米至1360米</w:t>
      </w:r>
      <w:r>
        <w:rPr>
          <w:rFonts w:ascii="仿宋" w:hAnsi="仿宋" w:eastAsia="仿宋"/>
          <w:sz w:val="28"/>
          <w:szCs w:val="28"/>
        </w:rPr>
        <w:t>标高</w:t>
      </w:r>
      <w:r>
        <w:rPr>
          <w:rFonts w:hint="eastAsia" w:ascii="仿宋" w:hAnsi="仿宋" w:eastAsia="仿宋"/>
          <w:sz w:val="28"/>
          <w:szCs w:val="28"/>
        </w:rPr>
        <w:t>，共有12个拐点圈定，生产规模45万吨/年。</w:t>
      </w:r>
    </w:p>
    <w:p>
      <w:pPr>
        <w:adjustRightInd w:val="0"/>
        <w:snapToGrid w:val="0"/>
        <w:spacing w:line="560" w:lineRule="exact"/>
        <w:ind w:firstLine="560" w:firstLineChars="200"/>
        <w:rPr>
          <w:rFonts w:hint="eastAsia" w:ascii="仿宋" w:hAnsi="仿宋" w:eastAsia="仿宋"/>
          <w:sz w:val="28"/>
          <w:szCs w:val="28"/>
        </w:rPr>
      </w:pPr>
      <w:r>
        <w:rPr>
          <w:rFonts w:hint="eastAsia" w:ascii="仿宋" w:hAnsi="仿宋" w:eastAsia="仿宋"/>
          <w:sz w:val="28"/>
          <w:szCs w:val="28"/>
        </w:rPr>
        <w:t>2025年3月23日，鄂尔多斯市自然资源局为鄂尔多斯市隆达实业集团有限责任公司一采区颁发了《采矿许可证》（证号：</w:t>
      </w:r>
      <w:r>
        <w:rPr>
          <w:rFonts w:ascii="仿宋" w:hAnsi="仿宋" w:eastAsia="仿宋"/>
          <w:sz w:val="28"/>
          <w:szCs w:val="28"/>
        </w:rPr>
        <w:t>C1506002011057120112527</w:t>
      </w:r>
      <w:r>
        <w:rPr>
          <w:rFonts w:hint="eastAsia" w:ascii="仿宋" w:hAnsi="仿宋" w:eastAsia="仿宋"/>
          <w:sz w:val="28"/>
          <w:szCs w:val="28"/>
        </w:rPr>
        <w:t>），采矿权人：鄂尔多斯市隆达实业集团有限责任公司，矿区面积</w:t>
      </w:r>
      <w:r>
        <w:rPr>
          <w:rFonts w:ascii="仿宋" w:hAnsi="仿宋" w:eastAsia="仿宋"/>
          <w:sz w:val="28"/>
          <w:szCs w:val="28"/>
        </w:rPr>
        <w:t>0.1375</w:t>
      </w:r>
      <w:r>
        <w:rPr>
          <w:rFonts w:hint="eastAsia" w:ascii="仿宋" w:hAnsi="仿宋" w:eastAsia="仿宋"/>
          <w:sz w:val="28"/>
          <w:szCs w:val="28"/>
        </w:rPr>
        <w:t>平方公里，开采方式为露天开采，开采深度由1350米至1250米标高，共有10个拐点圈定，生产规模80万吨/年。</w:t>
      </w:r>
    </w:p>
    <w:p>
      <w:pPr>
        <w:adjustRightInd w:val="0"/>
        <w:snapToGrid w:val="0"/>
        <w:spacing w:line="560" w:lineRule="exact"/>
        <w:ind w:firstLine="560" w:firstLineChars="200"/>
        <w:rPr>
          <w:rFonts w:hint="eastAsia" w:ascii="仿宋" w:hAnsi="仿宋" w:eastAsia="仿宋"/>
          <w:sz w:val="28"/>
          <w:szCs w:val="28"/>
        </w:rPr>
      </w:pPr>
      <w:r>
        <w:rPr>
          <w:rFonts w:hint="eastAsia" w:ascii="仿宋" w:hAnsi="仿宋" w:eastAsia="仿宋"/>
          <w:sz w:val="28"/>
          <w:szCs w:val="28"/>
        </w:rPr>
        <w:t>2025年3月20日，鄂尔多斯市自然资源局为鄂尔多斯市隆达实业集团有限责任公司济金石灰矿颁发了《采矿许可证》（证号：</w:t>
      </w:r>
      <w:r>
        <w:rPr>
          <w:rFonts w:ascii="仿宋" w:hAnsi="仿宋" w:eastAsia="仿宋"/>
          <w:sz w:val="28"/>
          <w:szCs w:val="28"/>
        </w:rPr>
        <w:t>C1506002009087120037795</w:t>
      </w:r>
      <w:r>
        <w:rPr>
          <w:rFonts w:hint="eastAsia" w:ascii="仿宋" w:hAnsi="仿宋" w:eastAsia="仿宋"/>
          <w:sz w:val="28"/>
          <w:szCs w:val="28"/>
        </w:rPr>
        <w:t>），采矿权人：鄂尔多斯市隆达实业集团有限责任公司。矿区面积</w:t>
      </w:r>
      <w:r>
        <w:rPr>
          <w:rFonts w:ascii="仿宋" w:hAnsi="仿宋" w:eastAsia="仿宋"/>
          <w:sz w:val="28"/>
          <w:szCs w:val="28"/>
        </w:rPr>
        <w:t>0.1277</w:t>
      </w:r>
      <w:r>
        <w:rPr>
          <w:rFonts w:hint="eastAsia" w:ascii="仿宋" w:hAnsi="仿宋" w:eastAsia="仿宋"/>
          <w:sz w:val="28"/>
          <w:szCs w:val="28"/>
        </w:rPr>
        <w:t>平方公里，开采方式为露天开采，开采深度由1433米至1342米标高，共有4个拐点圈定，生产规模50万吨/年。</w:t>
      </w:r>
    </w:p>
    <w:p>
      <w:pPr>
        <w:pStyle w:val="13"/>
        <w:spacing w:line="560" w:lineRule="exact"/>
        <w:rPr>
          <w:rFonts w:hint="eastAsia" w:ascii="仿宋" w:hAnsi="仿宋" w:eastAsia="仿宋"/>
        </w:rPr>
      </w:pPr>
      <w:r>
        <w:rPr>
          <w:rFonts w:hint="eastAsia" w:ascii="仿宋" w:hAnsi="仿宋" w:eastAsia="仿宋"/>
        </w:rPr>
        <w:t>根据鄂托克旗人民政府《关于印发鄂托克旗（环乌海周边区域）非煤矿产资源整合退出方案的通知》（鄂政发〔2024〕120号）及鄂尔多斯市自然资源局2024年9月26日会议纪要〔2024〕63号文件精神，将原有的“鄂尔多斯市隆达实业集团有限责任公司石灰石矿”、“鄂尔多斯市隆达实业集团有限责任公司一采区”和“鄂尔多斯市济金矿业有限公司石灰石矿”三个采矿权整合成1个矿权，整合后的采矿权人为鄂尔多斯市隆达实业集团有限责任公司，申请的开采区域由三个采区组成，一采区由12个拐点圈定，面积为0.7980km</w:t>
      </w:r>
      <w:r>
        <w:rPr>
          <w:rFonts w:hint="eastAsia" w:ascii="仿宋" w:hAnsi="仿宋" w:eastAsia="仿宋"/>
          <w:vertAlign w:val="superscript"/>
        </w:rPr>
        <w:t>2</w:t>
      </w:r>
      <w:r>
        <w:rPr>
          <w:rFonts w:hint="eastAsia" w:ascii="仿宋" w:hAnsi="仿宋" w:eastAsia="仿宋"/>
        </w:rPr>
        <w:t>，开采标高为1450m至1360m，露天开拓工程标高至地表；二采区由10个拐点圈定，面积为0.1375km</w:t>
      </w:r>
      <w:r>
        <w:rPr>
          <w:rFonts w:hint="eastAsia" w:ascii="仿宋" w:hAnsi="仿宋" w:eastAsia="仿宋"/>
          <w:vertAlign w:val="superscript"/>
        </w:rPr>
        <w:t>2</w:t>
      </w:r>
      <w:r>
        <w:rPr>
          <w:rFonts w:hint="eastAsia" w:ascii="仿宋" w:hAnsi="仿宋" w:eastAsia="仿宋"/>
        </w:rPr>
        <w:t>，开采标高为1350m至1250m，露天开拓工程标高至地表；三采区由4个拐点圈定，面积为0.1277km</w:t>
      </w:r>
      <w:r>
        <w:rPr>
          <w:rFonts w:hint="eastAsia" w:ascii="仿宋" w:hAnsi="仿宋" w:eastAsia="仿宋"/>
          <w:vertAlign w:val="superscript"/>
        </w:rPr>
        <w:t>2</w:t>
      </w:r>
      <w:r>
        <w:rPr>
          <w:rFonts w:hint="eastAsia" w:ascii="仿宋" w:hAnsi="仿宋" w:eastAsia="仿宋"/>
        </w:rPr>
        <w:t>，开采标高为1433m至1342m，露天开拓工程标高至地表。</w:t>
      </w:r>
    </w:p>
    <w:p>
      <w:pPr>
        <w:spacing w:line="560" w:lineRule="exact"/>
        <w:ind w:firstLine="560" w:firstLineChars="200"/>
        <w:rPr>
          <w:rFonts w:ascii="Calibri" w:hAnsi="Calibri" w:eastAsia="宋体" w:cs="Times New Roman"/>
          <w:szCs w:val="21"/>
        </w:rPr>
      </w:pPr>
      <w:r>
        <w:rPr>
          <w:rFonts w:hint="eastAsia" w:ascii="黑体" w:hAnsi="黑体" w:eastAsia="黑体" w:cs="Times New Roman"/>
          <w:sz w:val="28"/>
          <w:szCs w:val="28"/>
        </w:rPr>
        <w:t>四、矿产资源开采</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《开采方案》根据评审备案的矿产资源储量报告确定的主要</w:t>
      </w:r>
      <w:r>
        <w:rPr>
          <w:rFonts w:ascii="仿宋" w:hAnsi="仿宋" w:eastAsia="仿宋"/>
          <w:sz w:val="28"/>
          <w:szCs w:val="28"/>
        </w:rPr>
        <w:t>开采</w:t>
      </w:r>
      <w:r>
        <w:rPr>
          <w:rFonts w:hint="eastAsia" w:ascii="仿宋" w:hAnsi="仿宋" w:eastAsia="仿宋"/>
          <w:sz w:val="28"/>
          <w:szCs w:val="28"/>
        </w:rPr>
        <w:t>主</w:t>
      </w:r>
      <w:r>
        <w:rPr>
          <w:rFonts w:ascii="仿宋" w:hAnsi="仿宋" w:eastAsia="仿宋"/>
          <w:sz w:val="28"/>
          <w:szCs w:val="28"/>
        </w:rPr>
        <w:t>矿种</w:t>
      </w:r>
      <w:r>
        <w:rPr>
          <w:rFonts w:hint="eastAsia" w:ascii="仿宋" w:hAnsi="仿宋" w:eastAsia="仿宋"/>
          <w:sz w:val="28"/>
          <w:szCs w:val="28"/>
        </w:rPr>
        <w:t>为水泥用石灰岩，</w:t>
      </w:r>
      <w:r>
        <w:rPr>
          <w:rFonts w:ascii="仿宋" w:hAnsi="仿宋" w:eastAsia="仿宋"/>
          <w:sz w:val="28"/>
          <w:szCs w:val="28"/>
        </w:rPr>
        <w:t>开采方式为</w:t>
      </w:r>
      <w:r>
        <w:rPr>
          <w:rFonts w:hint="eastAsia" w:ascii="仿宋" w:hAnsi="仿宋" w:eastAsia="仿宋"/>
          <w:sz w:val="28"/>
          <w:szCs w:val="28"/>
        </w:rPr>
        <w:t>露天</w:t>
      </w:r>
      <w:r>
        <w:rPr>
          <w:rFonts w:ascii="仿宋" w:hAnsi="仿宋" w:eastAsia="仿宋"/>
          <w:sz w:val="28"/>
          <w:szCs w:val="28"/>
        </w:rPr>
        <w:t>开采</w:t>
      </w:r>
      <w:r>
        <w:rPr>
          <w:rFonts w:hint="eastAsia" w:ascii="仿宋" w:hAnsi="仿宋" w:eastAsia="仿宋"/>
          <w:sz w:val="28"/>
          <w:szCs w:val="28"/>
        </w:rPr>
        <w:t>。</w:t>
      </w:r>
      <w:r>
        <w:rPr>
          <w:rFonts w:ascii="仿宋" w:hAnsi="仿宋" w:eastAsia="仿宋"/>
          <w:sz w:val="28"/>
          <w:szCs w:val="28"/>
        </w:rPr>
        <w:t>拟建生产规模为</w:t>
      </w:r>
      <w:r>
        <w:rPr>
          <w:rFonts w:hint="eastAsia" w:ascii="仿宋" w:hAnsi="仿宋" w:eastAsia="仿宋"/>
          <w:sz w:val="28"/>
          <w:szCs w:val="28"/>
        </w:rPr>
        <w:t>200 万吨/年</w:t>
      </w:r>
      <w:r>
        <w:rPr>
          <w:rFonts w:ascii="仿宋" w:hAnsi="仿宋" w:eastAsia="仿宋"/>
          <w:sz w:val="28"/>
          <w:szCs w:val="28"/>
        </w:rPr>
        <w:t>，</w:t>
      </w:r>
      <w:r>
        <w:rPr>
          <w:rFonts w:hint="eastAsia" w:ascii="仿宋" w:hAnsi="仿宋" w:eastAsia="仿宋"/>
          <w:sz w:val="28"/>
          <w:szCs w:val="28"/>
        </w:rPr>
        <w:t>初步</w:t>
      </w:r>
      <w:r>
        <w:rPr>
          <w:rFonts w:ascii="仿宋" w:hAnsi="仿宋" w:eastAsia="仿宋"/>
          <w:sz w:val="28"/>
          <w:szCs w:val="28"/>
        </w:rPr>
        <w:t>估算矿山服务年限</w:t>
      </w:r>
      <w:r>
        <w:rPr>
          <w:rFonts w:hint="eastAsia" w:ascii="仿宋" w:hAnsi="仿宋" w:eastAsia="仿宋"/>
          <w:sz w:val="28"/>
          <w:szCs w:val="28"/>
        </w:rPr>
        <w:t>约31年，</w:t>
      </w:r>
      <w:r>
        <w:rPr>
          <w:rFonts w:ascii="仿宋" w:hAnsi="仿宋" w:eastAsia="仿宋"/>
          <w:sz w:val="28"/>
          <w:szCs w:val="28"/>
        </w:rPr>
        <w:t>矿产资源开采方案合理。</w:t>
      </w:r>
    </w:p>
    <w:p>
      <w:pPr>
        <w:spacing w:line="560" w:lineRule="exact"/>
        <w:ind w:firstLine="560" w:firstLineChars="200"/>
        <w:rPr>
          <w:rFonts w:ascii="Calibri" w:hAnsi="Calibri" w:eastAsia="宋体" w:cs="Times New Roman"/>
          <w:szCs w:val="21"/>
        </w:rPr>
      </w:pPr>
      <w:r>
        <w:rPr>
          <w:rFonts w:hint="eastAsia" w:ascii="黑体" w:hAnsi="黑体" w:eastAsia="黑体" w:cs="Times New Roman"/>
          <w:sz w:val="28"/>
          <w:szCs w:val="28"/>
        </w:rPr>
        <w:t>五、矿产资源综合利用</w:t>
      </w:r>
    </w:p>
    <w:p>
      <w:pPr>
        <w:tabs>
          <w:tab w:val="left" w:pos="312"/>
        </w:tabs>
        <w:adjustRightInd w:val="0"/>
        <w:snapToGrid w:val="0"/>
        <w:spacing w:line="560" w:lineRule="exact"/>
        <w:ind w:firstLine="560" w:firstLineChars="200"/>
        <w:rPr>
          <w:rFonts w:hint="eastAsia" w:ascii="仿宋" w:hAnsi="仿宋" w:eastAsia="仿宋"/>
          <w:sz w:val="28"/>
          <w:szCs w:val="28"/>
        </w:rPr>
      </w:pPr>
      <w:r>
        <w:rPr>
          <w:rFonts w:hint="eastAsia" w:ascii="仿宋" w:hAnsi="仿宋" w:eastAsia="仿宋"/>
          <w:sz w:val="28"/>
          <w:szCs w:val="28"/>
        </w:rPr>
        <w:t>《开采方案》推荐产品方案为水泥用石灰岩，根据选矿试验研究结果，提出初步选矿方案为“破碎-分级”加工工艺。矿区矿石为单一的水泥用石灰岩，无其他共伴生矿产资源。</w:t>
      </w:r>
    </w:p>
    <w:p>
      <w:pPr>
        <w:spacing w:line="560" w:lineRule="exact"/>
        <w:ind w:firstLine="560" w:firstLineChars="200"/>
        <w:rPr>
          <w:rFonts w:ascii="Calibri" w:hAnsi="Calibri" w:eastAsia="宋体" w:cs="Times New Roman"/>
          <w:szCs w:val="21"/>
        </w:rPr>
      </w:pPr>
      <w:r>
        <w:rPr>
          <w:rFonts w:hint="eastAsia" w:ascii="黑体" w:hAnsi="黑体" w:eastAsia="黑体" w:cs="Times New Roman"/>
          <w:sz w:val="28"/>
          <w:szCs w:val="28"/>
        </w:rPr>
        <w:t>六、矿产资源“三率”指标</w:t>
      </w:r>
    </w:p>
    <w:p>
      <w:pPr>
        <w:pStyle w:val="16"/>
        <w:spacing w:line="560" w:lineRule="exact"/>
        <w:rPr>
          <w:rFonts w:hint="eastAsia" w:cstheme="minorBidi"/>
        </w:rPr>
      </w:pPr>
      <w:r>
        <w:rPr>
          <w:rFonts w:hint="eastAsia" w:cstheme="minorBidi"/>
        </w:rPr>
        <w:t>矿业权人应采取有效措施并确保开采回采率、选矿回收率、综合利用率达到地质矿产行业标准（DZ/T0462-2023）矿产资源“三率”指标要求。</w:t>
      </w:r>
    </w:p>
    <w:p>
      <w:pPr>
        <w:pStyle w:val="16"/>
        <w:spacing w:line="560" w:lineRule="exact"/>
        <w:rPr>
          <w:rFonts w:hint="eastAsia" w:cstheme="minorBidi"/>
        </w:rPr>
      </w:pPr>
      <w:r>
        <w:rPr>
          <w:rFonts w:hint="eastAsia" w:cstheme="minorBidi"/>
        </w:rPr>
        <w:t>《开采方案》推荐开采回采率95%，达到《矿产资源“三率”指标要求 第 6 部分:石墨等 26 种非金属矿产》(DZ/T0462.6-2023)中一般指标要求。</w:t>
      </w:r>
    </w:p>
    <w:p>
      <w:pPr>
        <w:pStyle w:val="16"/>
        <w:spacing w:line="560" w:lineRule="exact"/>
        <w:rPr>
          <w:rFonts w:hint="eastAsia" w:cstheme="minorBidi"/>
        </w:rPr>
      </w:pPr>
      <w:r>
        <w:rPr>
          <w:rFonts w:hint="eastAsia" w:cstheme="minorBidi"/>
        </w:rPr>
        <w:t>根据《矿产资源“三率”指标要求 第6部分：石墨等26种非金属矿产》（DZ/T 0462.6-2023）中无石灰石矿选矿回收率和综合利用率要求。</w:t>
      </w:r>
    </w:p>
    <w:p>
      <w:pPr>
        <w:spacing w:line="560" w:lineRule="exact"/>
        <w:ind w:firstLine="560" w:firstLineChars="200"/>
        <w:rPr>
          <w:rFonts w:ascii="Calibri" w:hAnsi="Calibri" w:eastAsia="宋体" w:cs="Times New Roman"/>
          <w:szCs w:val="21"/>
        </w:rPr>
      </w:pPr>
      <w:r>
        <w:rPr>
          <w:rFonts w:hint="eastAsia" w:ascii="黑体" w:hAnsi="黑体" w:eastAsia="黑体" w:cs="Times New Roman"/>
          <w:sz w:val="28"/>
          <w:szCs w:val="28"/>
        </w:rPr>
        <w:t>七、说明与建议</w:t>
      </w:r>
    </w:p>
    <w:p>
      <w:pPr>
        <w:tabs>
          <w:tab w:val="left" w:pos="312"/>
        </w:tabs>
        <w:adjustRightInd w:val="0"/>
        <w:snapToGrid w:val="0"/>
        <w:spacing w:line="560" w:lineRule="exact"/>
        <w:ind w:firstLine="560" w:firstLineChars="200"/>
        <w:rPr>
          <w:rFonts w:hint="eastAsia" w:ascii="仿宋" w:hAnsi="仿宋" w:eastAsia="仿宋"/>
          <w:sz w:val="28"/>
          <w:szCs w:val="28"/>
        </w:rPr>
      </w:pPr>
      <w:r>
        <w:rPr>
          <w:rFonts w:hint="eastAsia" w:ascii="仿宋" w:hAnsi="仿宋" w:eastAsia="仿宋"/>
          <w:sz w:val="28"/>
          <w:szCs w:val="28"/>
        </w:rPr>
        <w:t>1.矿山</w:t>
      </w:r>
      <w:r>
        <w:rPr>
          <w:rFonts w:ascii="仿宋" w:hAnsi="仿宋" w:eastAsia="仿宋"/>
          <w:sz w:val="28"/>
          <w:szCs w:val="28"/>
        </w:rPr>
        <w:t>建设、生产中须</w:t>
      </w:r>
      <w:r>
        <w:rPr>
          <w:rFonts w:hint="eastAsia" w:ascii="仿宋" w:hAnsi="仿宋" w:eastAsia="仿宋"/>
          <w:sz w:val="28"/>
          <w:szCs w:val="28"/>
        </w:rPr>
        <w:t>严格</w:t>
      </w:r>
      <w:r>
        <w:rPr>
          <w:rFonts w:ascii="仿宋" w:hAnsi="仿宋" w:eastAsia="仿宋"/>
          <w:sz w:val="28"/>
          <w:szCs w:val="28"/>
        </w:rPr>
        <w:t>执行安全、生态保护等</w:t>
      </w:r>
      <w:r>
        <w:rPr>
          <w:rFonts w:hint="eastAsia" w:ascii="仿宋" w:hAnsi="仿宋" w:eastAsia="仿宋"/>
          <w:sz w:val="28"/>
          <w:szCs w:val="28"/>
        </w:rPr>
        <w:t>规定</w:t>
      </w:r>
      <w:r>
        <w:rPr>
          <w:rFonts w:ascii="仿宋" w:hAnsi="仿宋" w:eastAsia="仿宋"/>
          <w:sz w:val="28"/>
          <w:szCs w:val="28"/>
        </w:rPr>
        <w:t>。矿山</w:t>
      </w:r>
      <w:r>
        <w:rPr>
          <w:rFonts w:hint="eastAsia" w:ascii="仿宋" w:hAnsi="仿宋" w:eastAsia="仿宋"/>
          <w:sz w:val="28"/>
          <w:szCs w:val="28"/>
        </w:rPr>
        <w:t>安全</w:t>
      </w:r>
      <w:r>
        <w:rPr>
          <w:rFonts w:ascii="仿宋" w:hAnsi="仿宋" w:eastAsia="仿宋"/>
          <w:sz w:val="28"/>
          <w:szCs w:val="28"/>
        </w:rPr>
        <w:t>、环境影响评价、矿</w:t>
      </w:r>
      <w:r>
        <w:rPr>
          <w:rFonts w:hint="eastAsia" w:ascii="仿宋" w:hAnsi="仿宋" w:eastAsia="仿宋"/>
          <w:sz w:val="28"/>
          <w:szCs w:val="28"/>
        </w:rPr>
        <w:t>区生态修复方案</w:t>
      </w:r>
      <w:r>
        <w:rPr>
          <w:rFonts w:ascii="仿宋" w:hAnsi="仿宋" w:eastAsia="仿宋"/>
          <w:sz w:val="28"/>
          <w:szCs w:val="28"/>
        </w:rPr>
        <w:t>、水土保持等按照各相应主管部门审批的方案执行。</w:t>
      </w:r>
    </w:p>
    <w:p>
      <w:pPr>
        <w:pStyle w:val="13"/>
        <w:spacing w:line="560" w:lineRule="exact"/>
        <w:rPr>
          <w:rFonts w:hint="eastAsia" w:ascii="仿宋" w:hAnsi="仿宋" w:eastAsia="仿宋"/>
        </w:rPr>
      </w:pPr>
      <w:r>
        <w:rPr>
          <w:rFonts w:hint="eastAsia" w:ascii="仿宋" w:hAnsi="仿宋" w:eastAsia="仿宋"/>
        </w:rPr>
        <w:t>2、矿山生产活动中，应加强露天矿边坡监测工作，防止滑坡事故的发生。</w:t>
      </w:r>
    </w:p>
    <w:p>
      <w:pPr>
        <w:spacing w:line="560" w:lineRule="exact"/>
        <w:ind w:firstLine="840" w:firstLineChars="300"/>
        <w:rPr>
          <w:rFonts w:ascii="Calibri" w:hAnsi="Calibri" w:eastAsia="宋体" w:cs="Times New Roman"/>
          <w:szCs w:val="21"/>
        </w:rPr>
      </w:pPr>
      <w:r>
        <w:rPr>
          <w:rFonts w:hint="eastAsia" w:ascii="黑体" w:hAnsi="黑体" w:eastAsia="黑体" w:cs="Times New Roman"/>
          <w:sz w:val="28"/>
          <w:szCs w:val="28"/>
        </w:rPr>
        <w:t>八、评审结论</w:t>
      </w:r>
    </w:p>
    <w:p>
      <w:pPr>
        <w:tabs>
          <w:tab w:val="left" w:pos="312"/>
        </w:tabs>
        <w:adjustRightInd w:val="0"/>
        <w:snapToGrid w:val="0"/>
        <w:spacing w:line="560" w:lineRule="exact"/>
        <w:ind w:firstLine="560" w:firstLineChars="200"/>
        <w:rPr>
          <w:rFonts w:hint="eastAsia" w:ascii="仿宋" w:hAnsi="仿宋" w:eastAsia="仿宋"/>
          <w:sz w:val="28"/>
          <w:szCs w:val="28"/>
        </w:rPr>
      </w:pPr>
      <w:r>
        <w:rPr>
          <w:rFonts w:hint="eastAsia" w:ascii="仿宋" w:hAnsi="仿宋" w:eastAsia="仿宋"/>
          <w:sz w:val="28"/>
          <w:szCs w:val="28"/>
        </w:rPr>
        <w:t>《开采方案》符合《内蒙古自治区自然资源厅关于做好&lt;矿产资源法&gt;实施衔接过渡期矿产资源勘查方案、开采方案评审工作的公告》（公告〔2025〕27号）和《内蒙古自治区自然资源厅关于发布矿产资源勘查方案、开采方案评审临时服务指南的公告》（公告〔2025〕30号）等文件要求，同意通过评审</w:t>
      </w:r>
      <w:r>
        <w:rPr>
          <w:rFonts w:ascii="仿宋" w:hAnsi="仿宋" w:eastAsia="仿宋"/>
          <w:sz w:val="28"/>
          <w:szCs w:val="28"/>
        </w:rPr>
        <w:t>。</w:t>
      </w:r>
    </w:p>
    <w:p>
      <w:pPr>
        <w:tabs>
          <w:tab w:val="left" w:pos="312"/>
        </w:tabs>
        <w:adjustRightInd w:val="0"/>
        <w:snapToGrid w:val="0"/>
        <w:spacing w:line="500" w:lineRule="exact"/>
        <w:ind w:firstLine="4760" w:firstLineChars="1700"/>
        <w:rPr>
          <w:rFonts w:hint="eastAsia" w:ascii="仿宋" w:hAnsi="仿宋" w:eastAsia="仿宋"/>
          <w:sz w:val="28"/>
          <w:szCs w:val="28"/>
        </w:rPr>
      </w:pPr>
    </w:p>
    <w:p>
      <w:pPr>
        <w:tabs>
          <w:tab w:val="left" w:pos="312"/>
        </w:tabs>
        <w:adjustRightInd w:val="0"/>
        <w:snapToGrid w:val="0"/>
        <w:spacing w:line="500" w:lineRule="exact"/>
        <w:ind w:firstLine="5760" w:firstLineChars="2400"/>
        <w:rPr>
          <w:rFonts w:hint="eastAsia" w:ascii="仿宋_GB2312" w:hAnsi="宋体" w:eastAsia="仿宋_GB2312"/>
          <w:sz w:val="24"/>
          <w:szCs w:val="24"/>
        </w:rPr>
      </w:pPr>
      <w:r>
        <w:rPr>
          <w:rFonts w:hint="eastAsia" w:ascii="仿宋_GB2312" w:hAnsi="宋体" w:eastAsia="仿宋_GB2312"/>
          <w:sz w:val="24"/>
          <w:szCs w:val="24"/>
        </w:rPr>
        <w:t xml:space="preserve">   </w:t>
      </w:r>
    </w:p>
    <w:p>
      <w:pPr>
        <w:spacing w:before="312" w:beforeLines="100" w:after="312" w:afterLines="100" w:line="500" w:lineRule="exact"/>
        <w:rPr>
          <w:rFonts w:ascii="仿宋_GB2312" w:hAnsi="宋体" w:eastAsia="仿宋_GB2312"/>
          <w:sz w:val="28"/>
          <w:szCs w:val="28"/>
        </w:rPr>
      </w:pPr>
      <w:r>
        <w:rPr>
          <w:rFonts w:hint="eastAsia" w:ascii="仿宋_GB2312" w:hAnsi="宋体" w:eastAsia="仿宋_GB2312"/>
          <w:sz w:val="28"/>
          <w:szCs w:val="28"/>
        </w:rPr>
        <w:t>附：《鄂尔多斯市隆达实业集团有限责任公司石灰石矿开采方案》审查专组人员名单</w:t>
      </w:r>
    </w:p>
    <w:p>
      <w:pPr>
        <w:spacing w:before="312" w:beforeLines="100" w:after="312" w:afterLines="100" w:line="500" w:lineRule="exact"/>
        <w:rPr>
          <w:rFonts w:ascii="仿宋_GB2312" w:hAnsi="宋体" w:eastAsia="仿宋_GB2312"/>
          <w:sz w:val="28"/>
          <w:szCs w:val="28"/>
        </w:rPr>
      </w:pPr>
    </w:p>
    <w:p>
      <w:pPr>
        <w:spacing w:before="312" w:beforeLines="100" w:after="312" w:afterLines="100" w:line="500" w:lineRule="exact"/>
        <w:rPr>
          <w:rFonts w:ascii="仿宋_GB2312" w:hAnsi="宋体" w:eastAsia="仿宋_GB2312"/>
          <w:sz w:val="28"/>
          <w:szCs w:val="28"/>
        </w:rPr>
      </w:pPr>
    </w:p>
    <w:p>
      <w:pPr>
        <w:spacing w:before="312" w:beforeLines="100" w:after="312" w:afterLines="100" w:line="500" w:lineRule="exact"/>
        <w:rPr>
          <w:rFonts w:ascii="仿宋_GB2312" w:hAnsi="宋体" w:eastAsia="仿宋_GB2312"/>
          <w:sz w:val="28"/>
          <w:szCs w:val="28"/>
        </w:rPr>
      </w:pPr>
    </w:p>
    <w:p>
      <w:pPr>
        <w:spacing w:before="312" w:beforeLines="100" w:after="312" w:afterLines="100" w:line="500" w:lineRule="exact"/>
        <w:rPr>
          <w:rFonts w:ascii="仿宋_GB2312" w:hAnsi="宋体" w:eastAsia="仿宋_GB2312"/>
          <w:sz w:val="28"/>
          <w:szCs w:val="28"/>
        </w:rPr>
      </w:pPr>
    </w:p>
    <w:p>
      <w:pPr>
        <w:spacing w:before="312" w:beforeLines="100" w:after="312" w:afterLines="100" w:line="500" w:lineRule="exact"/>
        <w:rPr>
          <w:rFonts w:ascii="仿宋_GB2312" w:hAnsi="宋体" w:eastAsia="仿宋_GB2312"/>
          <w:sz w:val="28"/>
          <w:szCs w:val="28"/>
        </w:rPr>
      </w:pPr>
    </w:p>
    <w:p>
      <w:pPr>
        <w:spacing w:before="312" w:beforeLines="100" w:after="312" w:afterLines="100" w:line="500" w:lineRule="exact"/>
        <w:rPr>
          <w:rFonts w:ascii="仿宋_GB2312" w:hAnsi="宋体" w:eastAsia="仿宋_GB2312"/>
          <w:sz w:val="28"/>
          <w:szCs w:val="28"/>
        </w:rPr>
      </w:pPr>
    </w:p>
    <w:p>
      <w:pPr>
        <w:spacing w:before="312" w:beforeLines="100" w:after="312" w:afterLines="100" w:line="500" w:lineRule="exact"/>
        <w:rPr>
          <w:rFonts w:ascii="仿宋_GB2312" w:hAnsi="宋体" w:eastAsia="仿宋_GB2312"/>
          <w:sz w:val="28"/>
          <w:szCs w:val="28"/>
        </w:rPr>
      </w:pPr>
    </w:p>
    <w:p>
      <w:pPr>
        <w:spacing w:before="312" w:beforeLines="100" w:after="312" w:afterLines="100" w:line="500" w:lineRule="exact"/>
        <w:rPr>
          <w:rFonts w:ascii="仿宋_GB2312" w:hAnsi="宋体" w:eastAsia="仿宋_GB2312"/>
          <w:sz w:val="28"/>
          <w:szCs w:val="28"/>
        </w:rPr>
      </w:pPr>
    </w:p>
    <w:p>
      <w:pPr>
        <w:spacing w:before="312" w:beforeLines="100" w:after="312" w:afterLines="100" w:line="500" w:lineRule="exact"/>
        <w:ind w:firstLine="4480" w:firstLineChars="1600"/>
        <w:rPr>
          <w:rFonts w:hint="eastAsia" w:ascii="仿宋_GB2312" w:hAnsi="宋体" w:eastAsia="仿宋_GB2312"/>
          <w:sz w:val="28"/>
          <w:szCs w:val="28"/>
          <w:lang w:eastAsia="zh-CN"/>
        </w:rPr>
      </w:pPr>
      <w:r>
        <w:rPr>
          <w:rFonts w:hint="eastAsia" w:ascii="仿宋_GB2312" w:hAnsi="宋体" w:eastAsia="仿宋_GB2312"/>
          <w:sz w:val="28"/>
          <w:szCs w:val="28"/>
          <w:lang w:eastAsia="zh-CN"/>
        </w:rPr>
        <w:t>鄂尔多斯市地质调查监测院</w:t>
      </w:r>
    </w:p>
    <w:p>
      <w:pPr>
        <w:tabs>
          <w:tab w:val="left" w:pos="312"/>
        </w:tabs>
        <w:adjustRightInd w:val="0"/>
        <w:snapToGrid w:val="0"/>
        <w:spacing w:line="500" w:lineRule="exact"/>
        <w:ind w:firstLine="5280" w:firstLineChars="2200"/>
        <w:rPr>
          <w:rFonts w:ascii="仿宋_GB2312" w:hAnsi="宋体" w:eastAsia="仿宋_GB2312"/>
          <w:sz w:val="24"/>
          <w:szCs w:val="24"/>
        </w:rPr>
      </w:pPr>
      <w:r>
        <w:rPr>
          <w:rFonts w:hint="eastAsia" w:ascii="仿宋_GB2312" w:hAnsi="宋体" w:eastAsia="仿宋_GB2312"/>
          <w:sz w:val="24"/>
          <w:szCs w:val="24"/>
        </w:rPr>
        <w:t>2026年1月5日</w:t>
      </w:r>
    </w:p>
    <w:p>
      <w:pPr>
        <w:spacing w:before="312" w:beforeLines="100" w:after="312" w:afterLines="100" w:line="500" w:lineRule="exact"/>
        <w:rPr>
          <w:rFonts w:ascii="仿宋_GB2312" w:hAnsi="宋体" w:eastAsia="仿宋_GB2312"/>
          <w:sz w:val="28"/>
          <w:szCs w:val="28"/>
        </w:rPr>
      </w:pPr>
    </w:p>
    <w:p>
      <w:pPr>
        <w:spacing w:before="312" w:beforeLines="100" w:after="312" w:afterLines="100" w:line="500" w:lineRule="exact"/>
        <w:rPr>
          <w:rFonts w:hint="eastAsia"/>
        </w:rPr>
      </w:pPr>
    </w:p>
    <w:sectPr>
      <w:footerReference r:id="rId7"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CC"/>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496750"/>
      <w:docPartObj>
        <w:docPartGallery w:val="autotext"/>
      </w:docPartObj>
    </w:sdtPr>
    <w:sdtContent>
      <w:p>
        <w:pPr>
          <w:pStyle w:val="6"/>
          <w:jc w:val="center"/>
        </w:pPr>
        <w:r>
          <w:fldChar w:fldCharType="begin"/>
        </w:r>
        <w:r>
          <w:instrText xml:space="preserve"> PAGE   \* MERGEFORMAT </w:instrText>
        </w:r>
        <w:r>
          <w:fldChar w:fldCharType="separate"/>
        </w:r>
        <w:r>
          <w:rPr>
            <w:lang w:val="zh-CN"/>
          </w:rPr>
          <w:t>5</w:t>
        </w:r>
        <w:r>
          <w:rPr>
            <w:lang w:val="zh-CN"/>
          </w:rPr>
          <w:fldChar w:fldCharType="end"/>
        </w:r>
      </w:p>
    </w:sdtContent>
  </w:sdt>
  <w:p>
    <w:pPr>
      <w:pStyle w:val="6"/>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FA783D"/>
    <w:rsid w:val="00005A7A"/>
    <w:rsid w:val="00027BA6"/>
    <w:rsid w:val="00066FB9"/>
    <w:rsid w:val="00070AC6"/>
    <w:rsid w:val="00085AAB"/>
    <w:rsid w:val="000A0EA6"/>
    <w:rsid w:val="000A1750"/>
    <w:rsid w:val="000D0AB4"/>
    <w:rsid w:val="000D6F79"/>
    <w:rsid w:val="000D752C"/>
    <w:rsid w:val="000E2A7F"/>
    <w:rsid w:val="000F3CD8"/>
    <w:rsid w:val="00136707"/>
    <w:rsid w:val="00154488"/>
    <w:rsid w:val="00156D29"/>
    <w:rsid w:val="001B772D"/>
    <w:rsid w:val="001C065F"/>
    <w:rsid w:val="001C2E97"/>
    <w:rsid w:val="001C6371"/>
    <w:rsid w:val="001D1EE7"/>
    <w:rsid w:val="001D551C"/>
    <w:rsid w:val="001D610B"/>
    <w:rsid w:val="001E61AF"/>
    <w:rsid w:val="001E74AB"/>
    <w:rsid w:val="001F28AC"/>
    <w:rsid w:val="001F2B1A"/>
    <w:rsid w:val="0023060F"/>
    <w:rsid w:val="00245687"/>
    <w:rsid w:val="00253CA1"/>
    <w:rsid w:val="0028195F"/>
    <w:rsid w:val="002A3A43"/>
    <w:rsid w:val="002A5F9E"/>
    <w:rsid w:val="002A7AA4"/>
    <w:rsid w:val="002E087A"/>
    <w:rsid w:val="002E198F"/>
    <w:rsid w:val="002F4319"/>
    <w:rsid w:val="00322A17"/>
    <w:rsid w:val="00333F8A"/>
    <w:rsid w:val="00334D35"/>
    <w:rsid w:val="00336324"/>
    <w:rsid w:val="003829C2"/>
    <w:rsid w:val="00391025"/>
    <w:rsid w:val="003A1441"/>
    <w:rsid w:val="003B21BD"/>
    <w:rsid w:val="003B4926"/>
    <w:rsid w:val="003E68E1"/>
    <w:rsid w:val="00402B78"/>
    <w:rsid w:val="00432137"/>
    <w:rsid w:val="00434129"/>
    <w:rsid w:val="00435451"/>
    <w:rsid w:val="00445C0B"/>
    <w:rsid w:val="00463CF0"/>
    <w:rsid w:val="0046552D"/>
    <w:rsid w:val="004A1A96"/>
    <w:rsid w:val="004A6648"/>
    <w:rsid w:val="004E39BE"/>
    <w:rsid w:val="00512600"/>
    <w:rsid w:val="00515836"/>
    <w:rsid w:val="00545B2A"/>
    <w:rsid w:val="00572178"/>
    <w:rsid w:val="00594C73"/>
    <w:rsid w:val="00597CB9"/>
    <w:rsid w:val="005A4BCE"/>
    <w:rsid w:val="005C55CD"/>
    <w:rsid w:val="005F1457"/>
    <w:rsid w:val="00624F02"/>
    <w:rsid w:val="0063382E"/>
    <w:rsid w:val="006418D5"/>
    <w:rsid w:val="00642FB4"/>
    <w:rsid w:val="00646355"/>
    <w:rsid w:val="0064721A"/>
    <w:rsid w:val="00655CC5"/>
    <w:rsid w:val="00670492"/>
    <w:rsid w:val="00673364"/>
    <w:rsid w:val="006939F6"/>
    <w:rsid w:val="006E12AE"/>
    <w:rsid w:val="006E69EE"/>
    <w:rsid w:val="006F0630"/>
    <w:rsid w:val="006F178F"/>
    <w:rsid w:val="00701582"/>
    <w:rsid w:val="00704364"/>
    <w:rsid w:val="00707D82"/>
    <w:rsid w:val="00731A41"/>
    <w:rsid w:val="00752AEE"/>
    <w:rsid w:val="007663D3"/>
    <w:rsid w:val="00781519"/>
    <w:rsid w:val="007A0683"/>
    <w:rsid w:val="007B04BE"/>
    <w:rsid w:val="007B7312"/>
    <w:rsid w:val="007C1A19"/>
    <w:rsid w:val="007E35AC"/>
    <w:rsid w:val="00805363"/>
    <w:rsid w:val="0082470E"/>
    <w:rsid w:val="00834BC3"/>
    <w:rsid w:val="008A4AF7"/>
    <w:rsid w:val="008A72F4"/>
    <w:rsid w:val="008B4B07"/>
    <w:rsid w:val="008B609F"/>
    <w:rsid w:val="008C191B"/>
    <w:rsid w:val="008C7149"/>
    <w:rsid w:val="008D06ED"/>
    <w:rsid w:val="008E13EA"/>
    <w:rsid w:val="008F349F"/>
    <w:rsid w:val="00941B87"/>
    <w:rsid w:val="00987A50"/>
    <w:rsid w:val="009D1F71"/>
    <w:rsid w:val="009F5F1F"/>
    <w:rsid w:val="00A10D4A"/>
    <w:rsid w:val="00A11543"/>
    <w:rsid w:val="00A50D52"/>
    <w:rsid w:val="00AA6B60"/>
    <w:rsid w:val="00AB4E30"/>
    <w:rsid w:val="00AC0DA9"/>
    <w:rsid w:val="00AC38D4"/>
    <w:rsid w:val="00AC3CE1"/>
    <w:rsid w:val="00AD5D7B"/>
    <w:rsid w:val="00AE7254"/>
    <w:rsid w:val="00AF31F8"/>
    <w:rsid w:val="00B07AFB"/>
    <w:rsid w:val="00B114FC"/>
    <w:rsid w:val="00B14C17"/>
    <w:rsid w:val="00B156E7"/>
    <w:rsid w:val="00B21368"/>
    <w:rsid w:val="00B40A94"/>
    <w:rsid w:val="00B777F3"/>
    <w:rsid w:val="00B80A10"/>
    <w:rsid w:val="00B83557"/>
    <w:rsid w:val="00B92CE9"/>
    <w:rsid w:val="00BC7C9C"/>
    <w:rsid w:val="00BD0506"/>
    <w:rsid w:val="00C016E5"/>
    <w:rsid w:val="00C10449"/>
    <w:rsid w:val="00C16E9B"/>
    <w:rsid w:val="00C208DD"/>
    <w:rsid w:val="00C278B6"/>
    <w:rsid w:val="00C3282F"/>
    <w:rsid w:val="00C40FA1"/>
    <w:rsid w:val="00C410C8"/>
    <w:rsid w:val="00C61A35"/>
    <w:rsid w:val="00C648C0"/>
    <w:rsid w:val="00C72403"/>
    <w:rsid w:val="00CB1B87"/>
    <w:rsid w:val="00CB4FC4"/>
    <w:rsid w:val="00CB534B"/>
    <w:rsid w:val="00CD1CB3"/>
    <w:rsid w:val="00CD7AE6"/>
    <w:rsid w:val="00CE09C8"/>
    <w:rsid w:val="00D0355A"/>
    <w:rsid w:val="00D15D46"/>
    <w:rsid w:val="00D26ECD"/>
    <w:rsid w:val="00D32E4D"/>
    <w:rsid w:val="00D3347E"/>
    <w:rsid w:val="00D5146A"/>
    <w:rsid w:val="00D86B04"/>
    <w:rsid w:val="00D91DAF"/>
    <w:rsid w:val="00D944E1"/>
    <w:rsid w:val="00D9563D"/>
    <w:rsid w:val="00DA377E"/>
    <w:rsid w:val="00DB3BEC"/>
    <w:rsid w:val="00DB62F5"/>
    <w:rsid w:val="00DE4913"/>
    <w:rsid w:val="00E05EE8"/>
    <w:rsid w:val="00E11478"/>
    <w:rsid w:val="00E42AA9"/>
    <w:rsid w:val="00E45EBF"/>
    <w:rsid w:val="00E577F5"/>
    <w:rsid w:val="00E602CD"/>
    <w:rsid w:val="00E63317"/>
    <w:rsid w:val="00E66C2A"/>
    <w:rsid w:val="00E70799"/>
    <w:rsid w:val="00E74497"/>
    <w:rsid w:val="00E759D1"/>
    <w:rsid w:val="00ED088A"/>
    <w:rsid w:val="00ED6B2B"/>
    <w:rsid w:val="00EE001B"/>
    <w:rsid w:val="00EE4072"/>
    <w:rsid w:val="00EF4386"/>
    <w:rsid w:val="00F04EEE"/>
    <w:rsid w:val="00F100AE"/>
    <w:rsid w:val="00F31975"/>
    <w:rsid w:val="00F36EF9"/>
    <w:rsid w:val="00F40829"/>
    <w:rsid w:val="00F57189"/>
    <w:rsid w:val="00F6297B"/>
    <w:rsid w:val="00F640D4"/>
    <w:rsid w:val="00F64637"/>
    <w:rsid w:val="00F879DD"/>
    <w:rsid w:val="01FA783D"/>
    <w:rsid w:val="3D681CA6"/>
    <w:rsid w:val="4FF95592"/>
    <w:rsid w:val="5DB71983"/>
    <w:rsid w:val="5DF6ACE9"/>
    <w:rsid w:val="67B53160"/>
    <w:rsid w:val="7EED9B52"/>
    <w:rsid w:val="DAA965DE"/>
    <w:rsid w:val="F5FDFBCA"/>
    <w:rsid w:val="FF4BB2EE"/>
    <w:rsid w:val="FFBF69B4"/>
    <w:rsid w:val="FFEF05E6"/>
    <w:rsid w:val="FFF6393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ody Text Indent"/>
    <w:basedOn w:val="1"/>
    <w:next w:val="1"/>
    <w:qFormat/>
    <w:uiPriority w:val="0"/>
    <w:pPr>
      <w:spacing w:line="600" w:lineRule="exact"/>
      <w:ind w:firstLine="570"/>
    </w:pPr>
    <w:rPr>
      <w:rFonts w:ascii="宋体"/>
      <w:sz w:val="28"/>
      <w:szCs w:val="20"/>
    </w:rPr>
  </w:style>
  <w:style w:type="paragraph" w:styleId="4">
    <w:name w:val="Date"/>
    <w:basedOn w:val="1"/>
    <w:next w:val="1"/>
    <w:link w:val="20"/>
    <w:qFormat/>
    <w:uiPriority w:val="0"/>
    <w:pPr>
      <w:ind w:left="100" w:leftChars="2500"/>
    </w:pPr>
  </w:style>
  <w:style w:type="paragraph" w:styleId="5">
    <w:name w:val="Body Text Indent 2"/>
    <w:basedOn w:val="1"/>
    <w:link w:val="15"/>
    <w:unhideWhenUsed/>
    <w:qFormat/>
    <w:uiPriority w:val="99"/>
    <w:pPr>
      <w:spacing w:after="120" w:line="480" w:lineRule="auto"/>
      <w:ind w:left="420" w:leftChars="200" w:right="100" w:rightChars="100"/>
    </w:pPr>
    <w:rPr>
      <w:rFonts w:ascii="Times New Roman" w:hAnsi="Times New Roman" w:eastAsia="宋体" w:cs="Times New Roman"/>
      <w:szCs w:val="24"/>
    </w:rPr>
  </w:style>
  <w:style w:type="paragraph" w:styleId="6">
    <w:name w:val="footer"/>
    <w:basedOn w:val="1"/>
    <w:link w:val="19"/>
    <w:qFormat/>
    <w:uiPriority w:val="99"/>
    <w:pPr>
      <w:tabs>
        <w:tab w:val="center" w:pos="4153"/>
        <w:tab w:val="right" w:pos="8306"/>
      </w:tabs>
      <w:snapToGrid w:val="0"/>
      <w:jc w:val="left"/>
    </w:pPr>
    <w:rPr>
      <w:sz w:val="18"/>
      <w:szCs w:val="18"/>
    </w:rPr>
  </w:style>
  <w:style w:type="paragraph" w:styleId="7">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39"/>
    <w:pPr>
      <w:spacing w:before="120" w:beforeLines="0" w:after="120" w:afterLines="0"/>
      <w:jc w:val="left"/>
    </w:pPr>
    <w:rPr>
      <w:b/>
      <w:bCs/>
      <w:caps/>
      <w:sz w:val="20"/>
    </w:rPr>
  </w:style>
  <w:style w:type="paragraph" w:styleId="9">
    <w:name w:val="Body Text First Indent 2"/>
    <w:basedOn w:val="1"/>
    <w:next w:val="3"/>
    <w:qFormat/>
    <w:uiPriority w:val="0"/>
    <w:pPr>
      <w:ind w:firstLine="420" w:firstLineChars="200"/>
    </w:pPr>
  </w:style>
  <w:style w:type="character" w:styleId="12">
    <w:name w:val="annotation reference"/>
    <w:basedOn w:val="11"/>
    <w:semiHidden/>
    <w:unhideWhenUsed/>
    <w:qFormat/>
    <w:uiPriority w:val="99"/>
    <w:rPr>
      <w:sz w:val="21"/>
      <w:szCs w:val="21"/>
    </w:rPr>
  </w:style>
  <w:style w:type="paragraph" w:customStyle="1" w:styleId="13">
    <w:name w:val="样式1"/>
    <w:basedOn w:val="1"/>
    <w:link w:val="14"/>
    <w:qFormat/>
    <w:uiPriority w:val="0"/>
    <w:pPr>
      <w:spacing w:line="520" w:lineRule="exact"/>
      <w:ind w:firstLine="560" w:firstLineChars="200"/>
    </w:pPr>
    <w:rPr>
      <w:rFonts w:ascii="仿宋_GB2312" w:hAnsi="宋体" w:eastAsia="仿宋_GB2312"/>
      <w:sz w:val="28"/>
      <w:szCs w:val="28"/>
    </w:rPr>
  </w:style>
  <w:style w:type="character" w:customStyle="1" w:styleId="14">
    <w:name w:val="样式1 Char"/>
    <w:basedOn w:val="11"/>
    <w:link w:val="13"/>
    <w:qFormat/>
    <w:uiPriority w:val="0"/>
    <w:rPr>
      <w:rFonts w:ascii="仿宋_GB2312" w:hAnsi="宋体" w:eastAsia="仿宋_GB2312"/>
      <w:kern w:val="2"/>
      <w:sz w:val="28"/>
      <w:szCs w:val="28"/>
    </w:rPr>
  </w:style>
  <w:style w:type="character" w:customStyle="1" w:styleId="15">
    <w:name w:val="正文文本缩进 2 字符"/>
    <w:basedOn w:val="11"/>
    <w:link w:val="5"/>
    <w:qFormat/>
    <w:uiPriority w:val="99"/>
    <w:rPr>
      <w:rFonts w:ascii="Times New Roman" w:hAnsi="Times New Roman" w:eastAsia="宋体" w:cs="Times New Roman"/>
      <w:kern w:val="2"/>
      <w:sz w:val="21"/>
      <w:szCs w:val="24"/>
    </w:rPr>
  </w:style>
  <w:style w:type="paragraph" w:customStyle="1" w:styleId="16">
    <w:name w:val="样式3"/>
    <w:basedOn w:val="1"/>
    <w:link w:val="17"/>
    <w:qFormat/>
    <w:uiPriority w:val="0"/>
    <w:pPr>
      <w:adjustRightInd w:val="0"/>
      <w:snapToGrid w:val="0"/>
      <w:spacing w:line="540" w:lineRule="exact"/>
      <w:ind w:firstLine="560" w:firstLineChars="200"/>
    </w:pPr>
    <w:rPr>
      <w:rFonts w:ascii="仿宋" w:hAnsi="仿宋" w:eastAsia="仿宋" w:cs="仿宋"/>
      <w:sz w:val="28"/>
      <w:szCs w:val="28"/>
    </w:rPr>
  </w:style>
  <w:style w:type="character" w:customStyle="1" w:styleId="17">
    <w:name w:val="样式3 Char"/>
    <w:basedOn w:val="11"/>
    <w:link w:val="16"/>
    <w:qFormat/>
    <w:uiPriority w:val="0"/>
    <w:rPr>
      <w:rFonts w:ascii="仿宋" w:hAnsi="仿宋" w:eastAsia="仿宋" w:cs="仿宋"/>
      <w:kern w:val="2"/>
      <w:sz w:val="28"/>
      <w:szCs w:val="28"/>
    </w:rPr>
  </w:style>
  <w:style w:type="character" w:customStyle="1" w:styleId="18">
    <w:name w:val="页眉 字符"/>
    <w:basedOn w:val="11"/>
    <w:link w:val="7"/>
    <w:qFormat/>
    <w:uiPriority w:val="0"/>
    <w:rPr>
      <w:kern w:val="2"/>
      <w:sz w:val="18"/>
      <w:szCs w:val="18"/>
    </w:rPr>
  </w:style>
  <w:style w:type="character" w:customStyle="1" w:styleId="19">
    <w:name w:val="页脚 字符"/>
    <w:basedOn w:val="11"/>
    <w:link w:val="6"/>
    <w:qFormat/>
    <w:uiPriority w:val="99"/>
    <w:rPr>
      <w:kern w:val="2"/>
      <w:sz w:val="18"/>
      <w:szCs w:val="18"/>
    </w:rPr>
  </w:style>
  <w:style w:type="character" w:customStyle="1" w:styleId="20">
    <w:name w:val="日期 字符"/>
    <w:basedOn w:val="11"/>
    <w:link w:val="4"/>
    <w:qFormat/>
    <w:uiPriority w:val="0"/>
    <w:rPr>
      <w:kern w:val="2"/>
      <w:sz w:val="21"/>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1412</Words>
  <Characters>1822</Characters>
  <Lines>165</Lines>
  <Paragraphs>170</Paragraphs>
  <TotalTime>2</TotalTime>
  <ScaleCrop>false</ScaleCrop>
  <LinksUpToDate>false</LinksUpToDate>
  <CharactersWithSpaces>3064</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2025-01-26T05:41:00Z</dcterms:created>
  <dc:creator>Administrator</dc:creator>
  <cp:lastModifiedBy>greatwall</cp:lastModifiedBy>
  <cp:lastPrinted>2025-01-24T03:22:00Z</cp:lastPrinted>
  <dcterms:modified xsi:type="dcterms:W3CDTF">2026-01-08T11:04:51Z</dcterms:modified>
  <cp:revision>113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25EAF36D25CF4C779275EC750BF422D7_11</vt:lpwstr>
  </property>
  <property fmtid="{D5CDD505-2E9C-101B-9397-08002B2CF9AE}" pid="4" name="KSOTemplateDocerSaveRecord">
    <vt:lpwstr>eyJoZGlkIjoiMDEzYmM4NDk2MzJiZjY2MmFhNzQ0YjNiYmJlNjdkYWYifQ==</vt:lpwstr>
  </property>
</Properties>
</file>