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7"/>
        <w:ind w:left="0" w:leftChars="0" w:firstLine="0" w:firstLineChars="0"/>
        <w:jc w:val="left"/>
        <w:rPr>
          <w:rFonts w:hint="eastAsia" w:ascii="黑体" w:hAnsi="黑体" w:eastAsia="黑体" w:cs="黑体"/>
          <w:color w:val="auto"/>
          <w:spacing w:val="0"/>
          <w:w w:val="100"/>
          <w:kern w:val="2"/>
          <w:sz w:val="32"/>
          <w:szCs w:val="32"/>
          <w:highlight w:val="none"/>
          <w:lang w:val="en-US" w:eastAsia="zh-CN" w:bidi="ar-SA"/>
        </w:rPr>
      </w:pPr>
      <w:r>
        <w:rPr>
          <w:rFonts w:hint="eastAsia" w:ascii="黑体" w:hAnsi="黑体" w:eastAsia="黑体" w:cs="黑体"/>
          <w:color w:val="auto"/>
          <w:spacing w:val="0"/>
          <w:w w:val="100"/>
          <w:kern w:val="2"/>
          <w:sz w:val="32"/>
          <w:szCs w:val="32"/>
          <w:highlight w:val="none"/>
          <w:lang w:val="en-US" w:eastAsia="zh-CN" w:bidi="ar-SA"/>
        </w:rPr>
        <w:t>附件1</w:t>
      </w:r>
    </w:p>
    <w:p>
      <w:pPr>
        <w:widowControl/>
        <w:jc w:val="left"/>
        <w:rPr>
          <w:rFonts w:hint="eastAsia" w:ascii="黑体" w:hAnsi="黑体" w:eastAsia="黑体"/>
        </w:rPr>
      </w:pPr>
    </w:p>
    <w:p>
      <w:pPr>
        <w:spacing w:line="360" w:lineRule="auto"/>
        <w:ind w:left="-124" w:leftChars="-59" w:right="-248" w:rightChars="-118"/>
        <w:jc w:val="center"/>
        <w:outlineLvl w:val="0"/>
        <w:rPr>
          <w:rFonts w:hint="eastAsia" w:ascii="仿宋" w:hAnsi="仿宋" w:eastAsia="仿宋" w:cs="仿宋"/>
          <w:sz w:val="36"/>
          <w:szCs w:val="36"/>
        </w:rPr>
      </w:pPr>
    </w:p>
    <w:p>
      <w:pPr>
        <w:spacing w:line="360" w:lineRule="auto"/>
        <w:ind w:left="-124" w:leftChars="-59" w:right="-248" w:rightChars="-118"/>
        <w:jc w:val="center"/>
        <w:outlineLvl w:val="0"/>
        <w:rPr>
          <w:rFonts w:hint="eastAsia" w:ascii="仿宋" w:hAnsi="仿宋" w:eastAsia="仿宋" w:cs="仿宋"/>
          <w:sz w:val="36"/>
          <w:szCs w:val="36"/>
        </w:rPr>
      </w:pPr>
    </w:p>
    <w:p>
      <w:pPr>
        <w:spacing w:line="700" w:lineRule="exact"/>
        <w:jc w:val="center"/>
        <w:rPr>
          <w:rFonts w:ascii="方正小标宋简体" w:hAnsi="宋体" w:eastAsia="方正小标宋简体" w:cs="宋体"/>
          <w:sz w:val="44"/>
          <w:szCs w:val="44"/>
        </w:rPr>
      </w:pPr>
      <w:r>
        <w:rPr>
          <w:rFonts w:hint="eastAsia" w:ascii="方正小标宋简体" w:hAnsi="宋体" w:eastAsia="方正小标宋简体" w:cs="宋体"/>
          <w:sz w:val="44"/>
          <w:szCs w:val="44"/>
        </w:rPr>
        <w:t>《鄂托克旗润祥石英石矿业有限公司</w:t>
      </w:r>
    </w:p>
    <w:p>
      <w:pPr>
        <w:spacing w:line="700" w:lineRule="exact"/>
        <w:jc w:val="center"/>
        <w:rPr>
          <w:rFonts w:hint="eastAsia" w:ascii="方正小标宋简体" w:hAnsi="宋体" w:eastAsia="方正小标宋简体" w:cs="宋体"/>
          <w:sz w:val="44"/>
          <w:szCs w:val="44"/>
        </w:rPr>
      </w:pPr>
      <w:r>
        <w:rPr>
          <w:rFonts w:hint="eastAsia" w:ascii="方正小标宋简体" w:hAnsi="宋体" w:eastAsia="方正小标宋简体" w:cs="宋体"/>
          <w:sz w:val="44"/>
          <w:szCs w:val="44"/>
        </w:rPr>
        <w:t>石英石矿开采方案》</w:t>
      </w:r>
    </w:p>
    <w:p>
      <w:pPr>
        <w:spacing w:line="640" w:lineRule="atLeast"/>
        <w:jc w:val="center"/>
        <w:rPr>
          <w:rFonts w:hint="eastAsia" w:ascii="黑体" w:hAnsi="黑体" w:eastAsia="黑体" w:cs="新宋体"/>
          <w:sz w:val="44"/>
          <w:szCs w:val="44"/>
        </w:rPr>
      </w:pPr>
    </w:p>
    <w:p>
      <w:pPr>
        <w:pStyle w:val="7"/>
        <w:rPr>
          <w:rFonts w:hint="eastAsia" w:ascii="仿宋" w:hAnsi="仿宋" w:eastAsia="仿宋" w:cs="仿宋"/>
        </w:rPr>
      </w:pPr>
    </w:p>
    <w:p>
      <w:pPr>
        <w:spacing w:line="360" w:lineRule="auto"/>
        <w:jc w:val="center"/>
        <w:outlineLvl w:val="0"/>
        <w:rPr>
          <w:rFonts w:hint="eastAsia" w:asciiTheme="minorEastAsia" w:hAnsiTheme="minorEastAsia" w:cstheme="minorEastAsia"/>
          <w:b/>
          <w:sz w:val="52"/>
          <w:szCs w:val="52"/>
        </w:rPr>
      </w:pPr>
      <w:r>
        <w:rPr>
          <w:rFonts w:hint="eastAsia" w:asciiTheme="minorEastAsia" w:hAnsiTheme="minorEastAsia" w:cstheme="minorEastAsia"/>
          <w:b/>
          <w:sz w:val="52"/>
          <w:szCs w:val="52"/>
        </w:rPr>
        <w:t>评   审  意  见  书</w:t>
      </w:r>
    </w:p>
    <w:p>
      <w:pPr>
        <w:pStyle w:val="7"/>
        <w:spacing w:line="560" w:lineRule="atLeast"/>
        <w:ind w:firstLine="640"/>
        <w:rPr>
          <w:rFonts w:hint="eastAsia" w:asciiTheme="minorEastAsia" w:hAnsiTheme="minorEastAsia" w:cstheme="minorEastAsia"/>
          <w:sz w:val="32"/>
          <w:szCs w:val="32"/>
        </w:rPr>
      </w:pPr>
    </w:p>
    <w:p>
      <w:pPr>
        <w:spacing w:line="560" w:lineRule="atLeast"/>
        <w:jc w:val="center"/>
        <w:outlineLvl w:val="0"/>
        <w:rPr>
          <w:rFonts w:hint="eastAsia" w:asciiTheme="minorEastAsia" w:hAnsiTheme="minorEastAsia" w:cstheme="minorEastAsia"/>
          <w:sz w:val="32"/>
          <w:szCs w:val="32"/>
        </w:rPr>
      </w:pPr>
      <w:r>
        <w:rPr>
          <w:rFonts w:hint="eastAsia" w:asciiTheme="minorEastAsia" w:hAnsiTheme="minorEastAsia" w:cstheme="minorEastAsia"/>
          <w:sz w:val="32"/>
          <w:szCs w:val="32"/>
        </w:rPr>
        <w:t>鄂矿审字</w:t>
      </w:r>
      <w:r>
        <w:rPr>
          <w:rFonts w:hint="eastAsia" w:asciiTheme="minorEastAsia" w:hAnsiTheme="minorEastAsia" w:cstheme="minorEastAsia"/>
          <w:sz w:val="32"/>
        </w:rPr>
        <w:t>〔2026〕</w:t>
      </w:r>
      <w:r>
        <w:rPr>
          <w:rFonts w:hint="eastAsia" w:asciiTheme="minorEastAsia" w:hAnsiTheme="minorEastAsia" w:cstheme="minorEastAsia"/>
          <w:sz w:val="32"/>
          <w:lang w:val="en-US" w:eastAsia="zh-CN"/>
        </w:rPr>
        <w:t>3</w:t>
      </w:r>
      <w:r>
        <w:rPr>
          <w:rFonts w:hint="eastAsia" w:asciiTheme="minorEastAsia" w:hAnsiTheme="minorEastAsia" w:cstheme="minorEastAsia"/>
          <w:sz w:val="32"/>
          <w:szCs w:val="32"/>
        </w:rPr>
        <w:t>号</w:t>
      </w:r>
    </w:p>
    <w:p>
      <w:pPr>
        <w:spacing w:line="360" w:lineRule="auto"/>
        <w:jc w:val="center"/>
        <w:rPr>
          <w:rFonts w:hint="eastAsia" w:asciiTheme="minorEastAsia" w:hAnsiTheme="minorEastAsia" w:cstheme="minorEastAsia"/>
          <w:b/>
          <w:sz w:val="30"/>
          <w:szCs w:val="30"/>
        </w:rPr>
      </w:pPr>
    </w:p>
    <w:p>
      <w:pPr>
        <w:jc w:val="center"/>
        <w:rPr>
          <w:rFonts w:hint="eastAsia" w:ascii="宋体" w:hAnsi="宋体" w:eastAsia="宋体"/>
          <w:sz w:val="32"/>
          <w:szCs w:val="32"/>
        </w:rPr>
      </w:pPr>
    </w:p>
    <w:p>
      <w:pPr>
        <w:jc w:val="center"/>
        <w:rPr>
          <w:rFonts w:hint="eastAsia" w:ascii="宋体" w:hAnsi="宋体" w:eastAsia="宋体"/>
          <w:sz w:val="32"/>
          <w:szCs w:val="32"/>
        </w:rPr>
      </w:pPr>
    </w:p>
    <w:p>
      <w:pPr>
        <w:jc w:val="center"/>
        <w:rPr>
          <w:rFonts w:hint="eastAsia" w:ascii="宋体" w:hAnsi="宋体" w:eastAsia="宋体"/>
          <w:sz w:val="32"/>
          <w:szCs w:val="32"/>
        </w:rPr>
      </w:pPr>
    </w:p>
    <w:p>
      <w:pPr>
        <w:jc w:val="center"/>
        <w:rPr>
          <w:rFonts w:hint="eastAsia" w:ascii="宋体" w:hAnsi="宋体" w:eastAsia="宋体"/>
          <w:sz w:val="32"/>
          <w:szCs w:val="32"/>
        </w:rPr>
      </w:pPr>
    </w:p>
    <w:p>
      <w:pPr>
        <w:jc w:val="center"/>
        <w:rPr>
          <w:rFonts w:hint="eastAsia" w:ascii="宋体" w:hAnsi="宋体" w:eastAsia="宋体"/>
          <w:sz w:val="32"/>
          <w:szCs w:val="32"/>
        </w:rPr>
      </w:pPr>
    </w:p>
    <w:p>
      <w:pPr>
        <w:jc w:val="center"/>
        <w:rPr>
          <w:rFonts w:hint="eastAsia" w:ascii="宋体" w:hAnsi="宋体" w:eastAsia="宋体"/>
          <w:sz w:val="32"/>
          <w:szCs w:val="32"/>
        </w:rPr>
      </w:pPr>
    </w:p>
    <w:p>
      <w:pPr>
        <w:jc w:val="center"/>
        <w:rPr>
          <w:rFonts w:hint="eastAsia" w:ascii="宋体" w:hAnsi="宋体" w:eastAsia="宋体"/>
          <w:sz w:val="32"/>
          <w:szCs w:val="32"/>
        </w:rPr>
      </w:pPr>
    </w:p>
    <w:p>
      <w:pPr>
        <w:jc w:val="center"/>
        <w:rPr>
          <w:rFonts w:hint="eastAsia" w:ascii="宋体" w:hAnsi="宋体" w:eastAsia="宋体"/>
          <w:sz w:val="32"/>
          <w:szCs w:val="32"/>
        </w:rPr>
      </w:pPr>
      <w:r>
        <w:rPr>
          <w:rFonts w:hint="eastAsia" w:ascii="宋体" w:hAnsi="宋体" w:eastAsia="宋体" w:cs="宋体"/>
          <w:color w:val="auto"/>
          <w:spacing w:val="0"/>
          <w:w w:val="100"/>
          <w:sz w:val="32"/>
          <w:szCs w:val="32"/>
          <w:highlight w:val="none"/>
        </w:rPr>
        <w:t>鄂尔多斯市地质调查监测院</w:t>
      </w:r>
    </w:p>
    <w:p>
      <w:pPr>
        <w:jc w:val="center"/>
        <w:rPr>
          <w:rFonts w:hint="eastAsia" w:ascii="宋体" w:hAnsi="宋体" w:eastAsia="宋体"/>
          <w:sz w:val="32"/>
          <w:szCs w:val="32"/>
        </w:rPr>
      </w:pPr>
    </w:p>
    <w:p>
      <w:pPr>
        <w:jc w:val="center"/>
        <w:rPr>
          <w:rFonts w:hint="eastAsia" w:ascii="宋体" w:hAnsi="宋体"/>
          <w:sz w:val="32"/>
          <w:szCs w:val="32"/>
        </w:rPr>
      </w:pPr>
      <w:r>
        <w:rPr>
          <w:rFonts w:hint="eastAsia" w:ascii="宋体" w:hAnsi="宋体" w:eastAsia="宋体"/>
          <w:sz w:val="32"/>
          <w:szCs w:val="32"/>
        </w:rPr>
        <w:t>2026年1月16日</w:t>
      </w:r>
    </w:p>
    <w:p>
      <w:pPr>
        <w:spacing w:line="360" w:lineRule="auto"/>
        <w:jc w:val="left"/>
        <w:rPr>
          <w:rFonts w:hint="eastAsia" w:ascii="宋体" w:hAnsi="宋体"/>
          <w:sz w:val="32"/>
          <w:szCs w:val="32"/>
        </w:rPr>
      </w:pPr>
    </w:p>
    <w:p>
      <w:pPr>
        <w:spacing w:line="360" w:lineRule="auto"/>
        <w:jc w:val="left"/>
        <w:rPr>
          <w:rFonts w:hint="eastAsia" w:ascii="宋体" w:hAnsi="宋体"/>
          <w:sz w:val="32"/>
          <w:szCs w:val="32"/>
        </w:rPr>
      </w:pPr>
    </w:p>
    <w:p>
      <w:pPr>
        <w:spacing w:line="360" w:lineRule="auto"/>
        <w:jc w:val="left"/>
        <w:rPr>
          <w:rFonts w:hint="eastAsia" w:ascii="宋体" w:hAnsi="宋体"/>
          <w:sz w:val="32"/>
          <w:szCs w:val="32"/>
        </w:rPr>
      </w:pPr>
    </w:p>
    <w:p>
      <w:pPr>
        <w:spacing w:line="360" w:lineRule="auto"/>
        <w:jc w:val="left"/>
        <w:rPr>
          <w:rFonts w:hint="eastAsia" w:ascii="仿宋" w:hAnsi="仿宋" w:eastAsia="仿宋"/>
          <w:sz w:val="32"/>
          <w:szCs w:val="32"/>
        </w:rPr>
      </w:pPr>
      <w:r>
        <w:rPr>
          <w:rFonts w:hint="eastAsia" w:ascii="仿宋" w:hAnsi="仿宋" w:eastAsia="仿宋"/>
          <w:sz w:val="32"/>
          <w:szCs w:val="32"/>
        </w:rPr>
        <w:t>申请单位：鄂托克旗润祥石英石矿业有限公司</w:t>
      </w:r>
    </w:p>
    <w:p>
      <w:pPr>
        <w:spacing w:line="360" w:lineRule="auto"/>
        <w:jc w:val="left"/>
        <w:rPr>
          <w:rFonts w:hint="eastAsia" w:ascii="仿宋" w:hAnsi="仿宋" w:eastAsia="仿宋"/>
          <w:sz w:val="32"/>
          <w:szCs w:val="32"/>
        </w:rPr>
      </w:pPr>
      <w:r>
        <w:rPr>
          <w:rFonts w:hint="eastAsia" w:ascii="仿宋" w:hAnsi="仿宋" w:eastAsia="仿宋"/>
          <w:sz w:val="32"/>
          <w:szCs w:val="32"/>
        </w:rPr>
        <w:t>编制单位：内蒙古华远地质勘查技术有限公司</w:t>
      </w:r>
    </w:p>
    <w:p>
      <w:pPr>
        <w:spacing w:line="360" w:lineRule="auto"/>
        <w:jc w:val="left"/>
        <w:rPr>
          <w:rFonts w:hint="eastAsia" w:ascii="仿宋" w:hAnsi="仿宋" w:eastAsia="仿宋"/>
          <w:sz w:val="32"/>
          <w:szCs w:val="32"/>
        </w:rPr>
      </w:pPr>
      <w:r>
        <w:rPr>
          <w:rFonts w:hint="eastAsia" w:ascii="仿宋" w:hAnsi="仿宋" w:eastAsia="仿宋"/>
          <w:sz w:val="32"/>
          <w:szCs w:val="32"/>
        </w:rPr>
        <w:t>主要编写人：赵燕飞 冯龙 苏和 张碧璇 苏杭 任永春</w:t>
      </w:r>
    </w:p>
    <w:p>
      <w:pPr>
        <w:spacing w:line="360" w:lineRule="auto"/>
        <w:jc w:val="left"/>
        <w:rPr>
          <w:rFonts w:hint="eastAsia" w:ascii="仿宋" w:hAnsi="仿宋" w:eastAsia="仿宋"/>
          <w:sz w:val="32"/>
          <w:szCs w:val="32"/>
        </w:rPr>
      </w:pPr>
      <w:r>
        <w:rPr>
          <w:rFonts w:hint="eastAsia" w:ascii="仿宋" w:hAnsi="仿宋" w:eastAsia="仿宋"/>
          <w:sz w:val="32"/>
          <w:szCs w:val="32"/>
        </w:rPr>
        <w:t>编制日期： 2025年11月</w:t>
      </w:r>
    </w:p>
    <w:p>
      <w:pPr>
        <w:spacing w:line="360" w:lineRule="auto"/>
        <w:jc w:val="left"/>
        <w:rPr>
          <w:rFonts w:hint="eastAsia" w:ascii="仿宋" w:hAnsi="仿宋" w:eastAsia="仿宋"/>
          <w:sz w:val="32"/>
          <w:szCs w:val="32"/>
        </w:rPr>
      </w:pPr>
      <w:r>
        <w:rPr>
          <w:rFonts w:hint="eastAsia" w:ascii="仿宋" w:hAnsi="仿宋" w:eastAsia="仿宋"/>
          <w:sz w:val="32"/>
          <w:szCs w:val="32"/>
        </w:rPr>
        <w:t>受理日期：2025年11月28日</w:t>
      </w:r>
    </w:p>
    <w:p>
      <w:pPr>
        <w:spacing w:line="360" w:lineRule="auto"/>
        <w:jc w:val="left"/>
        <w:rPr>
          <w:rFonts w:hint="eastAsia" w:ascii="仿宋" w:hAnsi="仿宋" w:eastAsia="仿宋"/>
          <w:sz w:val="32"/>
          <w:szCs w:val="32"/>
        </w:rPr>
      </w:pPr>
      <w:r>
        <w:rPr>
          <w:rFonts w:hint="eastAsia" w:ascii="仿宋" w:hAnsi="仿宋" w:eastAsia="仿宋"/>
          <w:sz w:val="32"/>
          <w:szCs w:val="32"/>
        </w:rPr>
        <w:t>汇报人：赵燕飞</w:t>
      </w:r>
    </w:p>
    <w:p>
      <w:pPr>
        <w:spacing w:line="360" w:lineRule="auto"/>
        <w:jc w:val="left"/>
        <w:rPr>
          <w:rFonts w:hint="eastAsia" w:ascii="仿宋" w:hAnsi="仿宋" w:eastAsia="仿宋"/>
          <w:sz w:val="32"/>
          <w:szCs w:val="32"/>
        </w:rPr>
      </w:pPr>
      <w:r>
        <w:rPr>
          <w:rFonts w:hint="eastAsia" w:ascii="仿宋" w:hAnsi="仿宋" w:eastAsia="仿宋"/>
          <w:sz w:val="32"/>
          <w:szCs w:val="32"/>
        </w:rPr>
        <w:t>评审专家组</w:t>
      </w:r>
    </w:p>
    <w:p>
      <w:pPr>
        <w:spacing w:line="360" w:lineRule="auto"/>
        <w:ind w:firstLine="960" w:firstLineChars="300"/>
        <w:jc w:val="left"/>
        <w:rPr>
          <w:rFonts w:hint="eastAsia" w:ascii="仿宋" w:hAnsi="仿宋" w:eastAsia="仿宋"/>
          <w:sz w:val="32"/>
          <w:szCs w:val="32"/>
        </w:rPr>
      </w:pPr>
      <w:r>
        <w:rPr>
          <w:rFonts w:hint="eastAsia" w:ascii="仿宋" w:hAnsi="仿宋" w:eastAsia="仿宋"/>
          <w:sz w:val="32"/>
          <w:szCs w:val="32"/>
        </w:rPr>
        <w:t>组  长：袁龙建（采  矿）</w:t>
      </w:r>
    </w:p>
    <w:p>
      <w:pPr>
        <w:spacing w:line="360" w:lineRule="auto"/>
        <w:ind w:left="1480" w:leftChars="400" w:hanging="640" w:hangingChars="200"/>
        <w:jc w:val="left"/>
        <w:rPr>
          <w:rFonts w:hint="eastAsia" w:ascii="仿宋" w:hAnsi="仿宋" w:eastAsia="仿宋"/>
          <w:sz w:val="32"/>
          <w:szCs w:val="32"/>
        </w:rPr>
      </w:pPr>
      <w:r>
        <w:rPr>
          <w:rFonts w:hint="eastAsia" w:ascii="仿宋" w:hAnsi="仿宋" w:eastAsia="仿宋"/>
          <w:sz w:val="32"/>
          <w:szCs w:val="32"/>
        </w:rPr>
        <w:t xml:space="preserve"> 成  员：翟永刚（采  矿）   和静（地质矿产）</w:t>
      </w:r>
    </w:p>
    <w:p>
      <w:pPr>
        <w:spacing w:line="360" w:lineRule="auto"/>
        <w:ind w:left="1155" w:leftChars="550" w:firstLine="960" w:firstLineChars="300"/>
        <w:jc w:val="left"/>
        <w:rPr>
          <w:rFonts w:hint="eastAsia" w:ascii="仿宋" w:hAnsi="仿宋" w:eastAsia="仿宋"/>
          <w:sz w:val="32"/>
          <w:szCs w:val="32"/>
        </w:rPr>
      </w:pPr>
      <w:r>
        <w:rPr>
          <w:rFonts w:hint="eastAsia" w:ascii="仿宋" w:hAnsi="仿宋" w:eastAsia="仿宋"/>
          <w:sz w:val="32"/>
          <w:szCs w:val="32"/>
        </w:rPr>
        <w:t xml:space="preserve"> 遆晓刚（水工环）   贾凤梅（选  冶）</w:t>
      </w:r>
    </w:p>
    <w:p>
      <w:pPr>
        <w:spacing w:line="360" w:lineRule="auto"/>
        <w:jc w:val="left"/>
        <w:rPr>
          <w:rFonts w:hint="eastAsia" w:ascii="仿宋" w:hAnsi="仿宋" w:eastAsia="仿宋"/>
          <w:sz w:val="32"/>
          <w:szCs w:val="32"/>
        </w:rPr>
      </w:pPr>
      <w:r>
        <w:rPr>
          <w:rFonts w:hint="eastAsia" w:ascii="仿宋" w:hAnsi="仿宋" w:eastAsia="仿宋"/>
          <w:sz w:val="32"/>
          <w:szCs w:val="32"/>
        </w:rPr>
        <w:t>评审方式：会议评审</w:t>
      </w:r>
    </w:p>
    <w:p>
      <w:pPr>
        <w:spacing w:line="360" w:lineRule="auto"/>
        <w:jc w:val="left"/>
        <w:rPr>
          <w:rFonts w:hint="eastAsia" w:ascii="仿宋" w:hAnsi="仿宋" w:eastAsia="仿宋"/>
          <w:sz w:val="32"/>
          <w:szCs w:val="32"/>
        </w:rPr>
      </w:pPr>
      <w:r>
        <w:rPr>
          <w:rFonts w:hint="eastAsia" w:ascii="仿宋" w:hAnsi="仿宋" w:eastAsia="仿宋"/>
          <w:sz w:val="32"/>
          <w:szCs w:val="32"/>
        </w:rPr>
        <w:t>评审日期：2025年 12月5日</w:t>
      </w:r>
    </w:p>
    <w:p>
      <w:pPr>
        <w:spacing w:line="360" w:lineRule="auto"/>
        <w:jc w:val="left"/>
        <w:rPr>
          <w:rFonts w:hint="eastAsia" w:ascii="仿宋" w:hAnsi="仿宋" w:eastAsia="仿宋"/>
          <w:sz w:val="32"/>
          <w:szCs w:val="32"/>
        </w:rPr>
      </w:pPr>
      <w:r>
        <w:rPr>
          <w:rFonts w:hint="eastAsia" w:ascii="仿宋" w:hAnsi="仿宋" w:eastAsia="仿宋"/>
          <w:sz w:val="32"/>
          <w:szCs w:val="32"/>
        </w:rPr>
        <w:t>评审地点：呼和浩特市</w:t>
      </w:r>
    </w:p>
    <w:p>
      <w:pPr>
        <w:spacing w:line="500" w:lineRule="exact"/>
        <w:ind w:firstLine="560" w:firstLineChars="200"/>
        <w:rPr>
          <w:rFonts w:hint="eastAsia" w:ascii="仿宋" w:hAnsi="仿宋" w:eastAsia="仿宋"/>
          <w:sz w:val="28"/>
          <w:szCs w:val="28"/>
        </w:rPr>
      </w:pPr>
    </w:p>
    <w:p>
      <w:pPr>
        <w:spacing w:line="500" w:lineRule="exact"/>
        <w:ind w:firstLine="560" w:firstLineChars="200"/>
        <w:rPr>
          <w:rFonts w:hint="eastAsia" w:ascii="仿宋" w:hAnsi="仿宋" w:eastAsia="仿宋"/>
          <w:sz w:val="28"/>
          <w:szCs w:val="28"/>
        </w:rPr>
      </w:pPr>
    </w:p>
    <w:p>
      <w:pPr>
        <w:spacing w:line="500" w:lineRule="exact"/>
        <w:ind w:firstLine="560" w:firstLineChars="200"/>
        <w:rPr>
          <w:rFonts w:hint="eastAsia" w:ascii="仿宋" w:hAnsi="仿宋" w:eastAsia="仿宋"/>
          <w:sz w:val="28"/>
          <w:szCs w:val="28"/>
        </w:rPr>
      </w:pPr>
    </w:p>
    <w:p>
      <w:pPr>
        <w:spacing w:line="500" w:lineRule="exact"/>
        <w:ind w:firstLine="560" w:firstLineChars="200"/>
        <w:rPr>
          <w:rFonts w:hint="eastAsia" w:ascii="仿宋" w:hAnsi="仿宋" w:eastAsia="仿宋"/>
          <w:sz w:val="28"/>
          <w:szCs w:val="28"/>
        </w:rPr>
      </w:pPr>
    </w:p>
    <w:p>
      <w:pPr>
        <w:spacing w:line="500" w:lineRule="exact"/>
        <w:ind w:firstLine="560" w:firstLineChars="200"/>
        <w:rPr>
          <w:rFonts w:hint="eastAsia" w:ascii="仿宋" w:hAnsi="仿宋" w:eastAsia="仿宋"/>
          <w:sz w:val="28"/>
          <w:szCs w:val="28"/>
        </w:rPr>
      </w:pPr>
    </w:p>
    <w:p>
      <w:pPr>
        <w:spacing w:line="500" w:lineRule="exact"/>
        <w:ind w:firstLine="560" w:firstLineChars="200"/>
        <w:rPr>
          <w:rFonts w:hint="eastAsia" w:ascii="仿宋" w:hAnsi="仿宋" w:eastAsia="仿宋"/>
          <w:sz w:val="28"/>
          <w:szCs w:val="28"/>
        </w:rPr>
      </w:pPr>
    </w:p>
    <w:p>
      <w:pPr>
        <w:spacing w:line="500" w:lineRule="exact"/>
        <w:ind w:firstLine="560" w:firstLineChars="200"/>
        <w:rPr>
          <w:rFonts w:hint="eastAsia" w:ascii="仿宋" w:hAnsi="仿宋" w:eastAsia="仿宋"/>
          <w:sz w:val="28"/>
          <w:szCs w:val="28"/>
        </w:rPr>
      </w:pPr>
    </w:p>
    <w:p>
      <w:pPr>
        <w:spacing w:line="360" w:lineRule="auto"/>
        <w:rPr>
          <w:rFonts w:hint="eastAsia" w:ascii="宋体" w:hAnsi="宋体"/>
          <w:bCs/>
        </w:rPr>
      </w:pP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鄂尔多斯市地质调查监测院2025年11月28日受理了鄂托克旗润祥石英石矿业有限公司提交、内蒙古华远地质勘查技术有限公司编制的《鄂托克旗润祥石英石矿业有限公司石英石矿开采方案》（以下简称《开采方案》），依据《内蒙古自治区自然资源厅关于做好&lt;矿产资源法&gt;实施衔接过渡期矿产资源勘查方案、开采方案评审工作的公告》（公告〔2025〕27号）和《内蒙古自治区自然资源厅关于发布矿产资源勘查方案、开采方案评审临时服务指南的公告》(公告〔2025〕30号)等文件，于2025年12月5日在呼和浩特市组织专家对《开采方案》进行了评审。会后方案提交单位按专家组意见对方案进行了修改完善，于2026年1月4日返回修改稿，经专家组复核后形成仅供矿业权管理使用的评审意见如下：</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一、方案的编制目的</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《开采方案》编制目的</w:t>
      </w:r>
      <w:bookmarkStart w:id="0" w:name="_Hlk206962529"/>
      <w:r>
        <w:rPr>
          <w:rFonts w:hint="eastAsia" w:ascii="仿宋" w:hAnsi="仿宋" w:eastAsia="仿宋"/>
          <w:sz w:val="32"/>
          <w:szCs w:val="32"/>
        </w:rPr>
        <w:t>属于</w:t>
      </w:r>
      <w:bookmarkEnd w:id="0"/>
      <w:bookmarkStart w:id="1" w:name="_Hlk206962560"/>
      <w:r>
        <w:rPr>
          <w:rFonts w:hint="eastAsia" w:ascii="仿宋" w:hAnsi="仿宋" w:eastAsia="仿宋"/>
          <w:sz w:val="32"/>
          <w:szCs w:val="32"/>
        </w:rPr>
        <w:t>扩大开采区域</w:t>
      </w:r>
      <w:bookmarkEnd w:id="1"/>
      <w:r>
        <w:rPr>
          <w:rFonts w:hint="eastAsia" w:ascii="仿宋" w:hAnsi="仿宋" w:eastAsia="仿宋"/>
          <w:sz w:val="32"/>
          <w:szCs w:val="32"/>
        </w:rPr>
        <w:t>（已设矿业权整合）。</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二、矿区地质与矿产资源情况</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依据《内蒙古自治区鄂托克旗润祥石英石矿业有限公司石英石矿矿区(整合)冶金熔剂用石英岩矿资源储量核实报告》矿产资源储量评审意见书（鄂自然资储评字〔2025〕11号）和评审备案的复函（鄂自然资储备字〔2025〕14号），矿床勘查控制程度达到了勘探程度要求，可作为编制开采方案的依据。</w:t>
      </w:r>
    </w:p>
    <w:p>
      <w:pPr>
        <w:snapToGrid w:val="0"/>
        <w:spacing w:line="360" w:lineRule="auto"/>
        <w:ind w:firstLine="640" w:firstLineChars="200"/>
        <w:rPr>
          <w:rFonts w:hint="eastAsia" w:ascii="仿宋" w:hAnsi="仿宋" w:eastAsia="仿宋"/>
          <w:sz w:val="32"/>
          <w:szCs w:val="32"/>
        </w:rPr>
      </w:pPr>
      <w:r>
        <w:rPr>
          <w:rFonts w:hint="eastAsia" w:ascii="仿宋" w:hAnsi="仿宋" w:eastAsia="仿宋"/>
          <w:sz w:val="32"/>
          <w:szCs w:val="32"/>
        </w:rPr>
        <w:t>截止2024年6月30日，</w:t>
      </w:r>
      <w:r>
        <w:rPr>
          <w:rFonts w:hint="eastAsia" w:ascii="仿宋" w:hAnsi="仿宋" w:eastAsia="仿宋" w:cs="宋体"/>
          <w:sz w:val="32"/>
          <w:szCs w:val="32"/>
        </w:rPr>
        <w:t>鄂托克旗润祥石英石矿业有限公司石英石矿矿区（整合）范围内累计查明资源量15779.5万吨，动用资源量1961.0万吨，保有资源量13818.5万吨。其中探明资源量2759.7万吨，控制资源量4041.0万吨，推断资源量7017.8万吨，矿床平均品位SiO</w:t>
      </w:r>
      <w:r>
        <w:rPr>
          <w:rFonts w:hint="eastAsia" w:ascii="仿宋" w:hAnsi="仿宋" w:eastAsia="仿宋" w:cs="宋体"/>
          <w:sz w:val="32"/>
          <w:szCs w:val="32"/>
          <w:vertAlign w:val="subscript"/>
        </w:rPr>
        <w:t xml:space="preserve">2 </w:t>
      </w:r>
      <w:r>
        <w:rPr>
          <w:rFonts w:hint="eastAsia" w:ascii="仿宋" w:hAnsi="仿宋" w:eastAsia="仿宋" w:cs="宋体"/>
          <w:sz w:val="32"/>
          <w:szCs w:val="32"/>
        </w:rPr>
        <w:t>96.66%、Al</w:t>
      </w:r>
      <w:r>
        <w:rPr>
          <w:rFonts w:hint="eastAsia" w:ascii="仿宋" w:hAnsi="仿宋" w:eastAsia="仿宋" w:cs="宋体"/>
          <w:sz w:val="32"/>
          <w:szCs w:val="32"/>
          <w:vertAlign w:val="subscript"/>
        </w:rPr>
        <w:t>2</w:t>
      </w:r>
      <w:r>
        <w:rPr>
          <w:rFonts w:hint="eastAsia" w:ascii="仿宋" w:hAnsi="仿宋" w:eastAsia="仿宋" w:cs="宋体"/>
          <w:sz w:val="32"/>
          <w:szCs w:val="32"/>
        </w:rPr>
        <w:t>O</w:t>
      </w:r>
      <w:r>
        <w:rPr>
          <w:rFonts w:hint="eastAsia" w:ascii="仿宋" w:hAnsi="仿宋" w:eastAsia="仿宋" w:cs="宋体"/>
          <w:sz w:val="32"/>
          <w:szCs w:val="32"/>
          <w:vertAlign w:val="subscript"/>
        </w:rPr>
        <w:t xml:space="preserve">3 </w:t>
      </w:r>
      <w:r>
        <w:rPr>
          <w:rFonts w:hint="eastAsia" w:ascii="仿宋" w:hAnsi="仿宋" w:eastAsia="仿宋" w:cs="宋体"/>
          <w:sz w:val="32"/>
          <w:szCs w:val="32"/>
        </w:rPr>
        <w:t>1.25%、Fe</w:t>
      </w:r>
      <w:r>
        <w:rPr>
          <w:rFonts w:hint="eastAsia" w:ascii="仿宋" w:hAnsi="仿宋" w:eastAsia="仿宋" w:cs="宋体"/>
          <w:sz w:val="32"/>
          <w:szCs w:val="32"/>
          <w:vertAlign w:val="subscript"/>
        </w:rPr>
        <w:t>2</w:t>
      </w:r>
      <w:r>
        <w:rPr>
          <w:rFonts w:hint="eastAsia" w:ascii="仿宋" w:hAnsi="仿宋" w:eastAsia="仿宋" w:cs="宋体"/>
          <w:sz w:val="32"/>
          <w:szCs w:val="32"/>
        </w:rPr>
        <w:t>O</w:t>
      </w:r>
      <w:r>
        <w:rPr>
          <w:rFonts w:hint="eastAsia" w:ascii="仿宋" w:hAnsi="仿宋" w:eastAsia="仿宋" w:cs="宋体"/>
          <w:sz w:val="32"/>
          <w:szCs w:val="32"/>
          <w:vertAlign w:val="subscript"/>
        </w:rPr>
        <w:t xml:space="preserve">3 </w:t>
      </w:r>
      <w:r>
        <w:rPr>
          <w:rFonts w:hint="eastAsia" w:ascii="仿宋" w:hAnsi="仿宋" w:eastAsia="仿宋" w:cs="宋体"/>
          <w:sz w:val="32"/>
          <w:szCs w:val="32"/>
        </w:rPr>
        <w:t>0.45%、CaO 0.25%。</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《开采方案》设计利用的资源量11900.0万吨</w:t>
      </w:r>
      <w:r>
        <w:rPr>
          <w:rFonts w:hint="eastAsia" w:ascii="仿宋" w:hAnsi="仿宋" w:eastAsia="仿宋" w:cs="宋体"/>
          <w:sz w:val="32"/>
          <w:szCs w:val="32"/>
        </w:rPr>
        <w:t>，平均品位SiO</w:t>
      </w:r>
      <w:r>
        <w:rPr>
          <w:rFonts w:hint="eastAsia" w:ascii="仿宋" w:hAnsi="仿宋" w:eastAsia="仿宋" w:cs="宋体"/>
          <w:sz w:val="32"/>
          <w:szCs w:val="32"/>
          <w:vertAlign w:val="subscript"/>
        </w:rPr>
        <w:t xml:space="preserve">2 </w:t>
      </w:r>
      <w:r>
        <w:rPr>
          <w:rFonts w:hint="eastAsia" w:ascii="仿宋" w:hAnsi="仿宋" w:eastAsia="仿宋" w:cs="宋体"/>
          <w:sz w:val="32"/>
          <w:szCs w:val="32"/>
        </w:rPr>
        <w:t>95.64%、Al</w:t>
      </w:r>
      <w:r>
        <w:rPr>
          <w:rFonts w:hint="eastAsia" w:ascii="仿宋" w:hAnsi="仿宋" w:eastAsia="仿宋" w:cs="宋体"/>
          <w:sz w:val="32"/>
          <w:szCs w:val="32"/>
          <w:vertAlign w:val="subscript"/>
        </w:rPr>
        <w:t>2</w:t>
      </w:r>
      <w:r>
        <w:rPr>
          <w:rFonts w:hint="eastAsia" w:ascii="仿宋" w:hAnsi="仿宋" w:eastAsia="仿宋" w:cs="宋体"/>
          <w:sz w:val="32"/>
          <w:szCs w:val="32"/>
        </w:rPr>
        <w:t>O</w:t>
      </w:r>
      <w:r>
        <w:rPr>
          <w:rFonts w:hint="eastAsia" w:ascii="仿宋" w:hAnsi="仿宋" w:eastAsia="仿宋" w:cs="宋体"/>
          <w:sz w:val="32"/>
          <w:szCs w:val="32"/>
          <w:vertAlign w:val="subscript"/>
        </w:rPr>
        <w:t xml:space="preserve">3 </w:t>
      </w:r>
      <w:r>
        <w:rPr>
          <w:rFonts w:hint="eastAsia" w:ascii="仿宋" w:hAnsi="仿宋" w:eastAsia="仿宋" w:cs="宋体"/>
          <w:sz w:val="32"/>
          <w:szCs w:val="32"/>
        </w:rPr>
        <w:t>1.24%、Fe</w:t>
      </w:r>
      <w:r>
        <w:rPr>
          <w:rFonts w:hint="eastAsia" w:ascii="仿宋" w:hAnsi="仿宋" w:eastAsia="仿宋" w:cs="宋体"/>
          <w:sz w:val="32"/>
          <w:szCs w:val="32"/>
          <w:vertAlign w:val="subscript"/>
        </w:rPr>
        <w:t>2</w:t>
      </w:r>
      <w:r>
        <w:rPr>
          <w:rFonts w:hint="eastAsia" w:ascii="仿宋" w:hAnsi="仿宋" w:eastAsia="仿宋" w:cs="宋体"/>
          <w:sz w:val="32"/>
          <w:szCs w:val="32"/>
        </w:rPr>
        <w:t>O</w:t>
      </w:r>
      <w:r>
        <w:rPr>
          <w:rFonts w:hint="eastAsia" w:ascii="仿宋" w:hAnsi="仿宋" w:eastAsia="仿宋" w:cs="宋体"/>
          <w:sz w:val="32"/>
          <w:szCs w:val="32"/>
          <w:vertAlign w:val="subscript"/>
        </w:rPr>
        <w:t xml:space="preserve">3 </w:t>
      </w:r>
      <w:r>
        <w:rPr>
          <w:rFonts w:hint="eastAsia" w:ascii="仿宋" w:hAnsi="仿宋" w:eastAsia="仿宋" w:cs="宋体"/>
          <w:sz w:val="32"/>
          <w:szCs w:val="32"/>
        </w:rPr>
        <w:t>0.46%、CaO 0.19%</w:t>
      </w:r>
      <w:r>
        <w:rPr>
          <w:rFonts w:hint="eastAsia" w:ascii="仿宋" w:hAnsi="仿宋" w:eastAsia="仿宋"/>
          <w:sz w:val="32"/>
          <w:szCs w:val="32"/>
        </w:rPr>
        <w:t>；估算可采储量11305.0万吨</w:t>
      </w:r>
      <w:bookmarkStart w:id="2" w:name="_Hlk206944693"/>
      <w:r>
        <w:rPr>
          <w:rFonts w:hint="eastAsia" w:ascii="仿宋" w:hAnsi="仿宋" w:eastAsia="仿宋" w:cs="宋体"/>
          <w:sz w:val="32"/>
          <w:szCs w:val="32"/>
        </w:rPr>
        <w:t>。</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三、开采区域</w:t>
      </w:r>
    </w:p>
    <w:bookmarkEnd w:id="2"/>
    <w:p>
      <w:pPr>
        <w:spacing w:line="360" w:lineRule="auto"/>
        <w:ind w:firstLine="642" w:firstLineChars="200"/>
        <w:rPr>
          <w:rFonts w:hint="eastAsia" w:ascii="仿宋" w:hAnsi="仿宋" w:eastAsia="仿宋"/>
          <w:b/>
          <w:sz w:val="32"/>
          <w:szCs w:val="32"/>
        </w:rPr>
      </w:pPr>
      <w:r>
        <w:rPr>
          <w:rFonts w:hint="eastAsia" w:ascii="仿宋" w:hAnsi="仿宋" w:eastAsia="仿宋"/>
          <w:b/>
          <w:sz w:val="32"/>
          <w:szCs w:val="32"/>
        </w:rPr>
        <w:t>1、采矿权</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（1）</w:t>
      </w:r>
      <w:r>
        <w:rPr>
          <w:rFonts w:hint="eastAsia" w:ascii="仿宋" w:hAnsi="仿宋" w:eastAsia="仿宋" w:cs="宋体"/>
          <w:sz w:val="32"/>
          <w:szCs w:val="32"/>
        </w:rPr>
        <w:t>鄂托克旗润祥石英石矿业有限公司石英石矿</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鄂托克旗润祥石英石矿业有限公司石英石矿采矿许可证证号：</w:t>
      </w:r>
      <w:r>
        <w:rPr>
          <w:rFonts w:hint="eastAsia" w:ascii="仿宋" w:hAnsi="仿宋" w:eastAsia="仿宋" w:cs="宋体"/>
          <w:sz w:val="32"/>
          <w:szCs w:val="32"/>
        </w:rPr>
        <w:t>C1506002009116120044148</w:t>
      </w:r>
      <w:r>
        <w:rPr>
          <w:rFonts w:hint="eastAsia" w:ascii="仿宋" w:hAnsi="仿宋" w:eastAsia="仿宋"/>
          <w:sz w:val="32"/>
          <w:szCs w:val="32"/>
        </w:rPr>
        <w:t>；开采方式：露天开采；生产规模：107.5万吨/年；矿区面积：0.4217km</w:t>
      </w:r>
      <w:r>
        <w:rPr>
          <w:rFonts w:ascii="Calibri" w:hAnsi="Calibri" w:eastAsia="仿宋" w:cs="Calibri"/>
          <w:sz w:val="32"/>
          <w:szCs w:val="32"/>
        </w:rPr>
        <w:t>²</w:t>
      </w:r>
      <w:r>
        <w:rPr>
          <w:rFonts w:hint="eastAsia" w:ascii="仿宋" w:hAnsi="仿宋" w:eastAsia="仿宋"/>
          <w:sz w:val="32"/>
          <w:szCs w:val="32"/>
        </w:rPr>
        <w:t>，共由15个拐点圈定，分为两个采区，开采深度分别为1569m至1425m标高、1490m至1400m标高。</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（2）</w:t>
      </w:r>
      <w:r>
        <w:rPr>
          <w:rFonts w:hint="eastAsia" w:ascii="仿宋" w:hAnsi="仿宋" w:eastAsia="仿宋" w:cs="宋体"/>
          <w:sz w:val="32"/>
          <w:szCs w:val="32"/>
        </w:rPr>
        <w:t>鄂尔多斯市西金矿冶有限责任公司硅石矿一采（拟设采矿权）</w:t>
      </w:r>
    </w:p>
    <w:p>
      <w:pPr>
        <w:spacing w:line="360" w:lineRule="auto"/>
        <w:ind w:firstLine="640" w:firstLineChars="200"/>
        <w:rPr>
          <w:rFonts w:hint="eastAsia" w:ascii="仿宋" w:hAnsi="仿宋" w:eastAsia="仿宋"/>
          <w:sz w:val="32"/>
          <w:szCs w:val="32"/>
        </w:rPr>
      </w:pPr>
      <w:bookmarkStart w:id="3" w:name="_Hlk219279758"/>
      <w:r>
        <w:rPr>
          <w:rFonts w:hint="eastAsia" w:ascii="仿宋" w:hAnsi="仿宋" w:eastAsia="仿宋" w:cs="宋体"/>
          <w:sz w:val="32"/>
          <w:szCs w:val="32"/>
        </w:rPr>
        <w:t>鄂尔多斯市自然资源局于2017年7月8日以“鄂国土资采划字〔2017〕005号”文为鄂尔多斯市西金矿冶有限责任公司硅石矿一采划定矿区范围批复。2019年7月9日鄂尔多斯市自然资源局以“鄂国土资采划字〔2019〕015号”文对《划定矿区范围批复》进行延续</w:t>
      </w:r>
      <w:bookmarkEnd w:id="3"/>
      <w:r>
        <w:rPr>
          <w:rFonts w:hint="eastAsia" w:ascii="仿宋" w:hAnsi="仿宋" w:eastAsia="仿宋" w:cs="宋体"/>
          <w:sz w:val="32"/>
          <w:szCs w:val="32"/>
        </w:rPr>
        <w:t>，有效期至取得采矿许可证之日</w:t>
      </w:r>
      <w:r>
        <w:rPr>
          <w:rFonts w:hint="eastAsia" w:ascii="仿宋" w:hAnsi="仿宋" w:eastAsia="仿宋"/>
          <w:sz w:val="32"/>
          <w:szCs w:val="32"/>
        </w:rPr>
        <w:t>，划定矿区面积0.4574km</w:t>
      </w:r>
      <w:r>
        <w:rPr>
          <w:rFonts w:ascii="Calibri" w:hAnsi="Calibri" w:eastAsia="仿宋" w:cs="Calibri"/>
          <w:sz w:val="32"/>
          <w:szCs w:val="32"/>
        </w:rPr>
        <w:t>²</w:t>
      </w:r>
      <w:r>
        <w:rPr>
          <w:rFonts w:hint="eastAsia" w:ascii="仿宋" w:hAnsi="仿宋" w:eastAsia="仿宋"/>
          <w:sz w:val="32"/>
          <w:szCs w:val="32"/>
        </w:rPr>
        <w:t>，共由9个拐点圈定，开采深度1578m至1410m标高。</w:t>
      </w:r>
    </w:p>
    <w:p>
      <w:pPr>
        <w:spacing w:line="360" w:lineRule="auto"/>
        <w:ind w:firstLine="642" w:firstLineChars="200"/>
        <w:rPr>
          <w:rFonts w:hint="eastAsia" w:ascii="仿宋" w:hAnsi="仿宋" w:eastAsia="仿宋"/>
          <w:b/>
          <w:sz w:val="32"/>
          <w:szCs w:val="32"/>
        </w:rPr>
      </w:pPr>
      <w:r>
        <w:rPr>
          <w:rFonts w:hint="eastAsia" w:ascii="仿宋" w:hAnsi="仿宋" w:eastAsia="仿宋"/>
          <w:b/>
          <w:sz w:val="32"/>
          <w:szCs w:val="32"/>
        </w:rPr>
        <w:t>2、申请开采区域</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《开采方案》申请开采区域范围与已设、拟设采矿权平面范围一致，共由24个拐点圈定，面积0.8791km</w:t>
      </w:r>
      <w:r>
        <w:rPr>
          <w:rFonts w:ascii="Calibri" w:hAnsi="Calibri" w:eastAsia="仿宋" w:cs="Calibri"/>
          <w:sz w:val="32"/>
          <w:szCs w:val="32"/>
        </w:rPr>
        <w:t>²</w:t>
      </w:r>
      <w:r>
        <w:rPr>
          <w:rFonts w:hint="eastAsia" w:ascii="仿宋" w:hAnsi="仿宋" w:eastAsia="仿宋"/>
          <w:sz w:val="32"/>
          <w:szCs w:val="32"/>
        </w:rPr>
        <w:t>，分为一、二、三共三个采区，开采深度范围与赋矿标高一致，露天剥离工程标高均至地表。</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四、矿产资源开采</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《开采方案》根据经评审备案的矿产资源储量报告，确定开采矿种为</w:t>
      </w:r>
      <w:r>
        <w:rPr>
          <w:rFonts w:hint="eastAsia" w:ascii="仿宋" w:hAnsi="仿宋" w:eastAsia="仿宋" w:cs="宋体"/>
          <w:sz w:val="32"/>
          <w:szCs w:val="32"/>
        </w:rPr>
        <w:t>冶金熔剂用石英岩</w:t>
      </w:r>
      <w:r>
        <w:rPr>
          <w:rFonts w:hint="eastAsia" w:ascii="仿宋" w:hAnsi="仿宋" w:eastAsia="仿宋"/>
          <w:sz w:val="32"/>
          <w:szCs w:val="32"/>
        </w:rPr>
        <w:t>，推荐开采方式为露天开采，拟建生产规模为440万吨/年，估算矿山服务年限32年。矿产资源开采方案合理。</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五、矿产资源综合利用</w:t>
      </w:r>
    </w:p>
    <w:p>
      <w:pPr>
        <w:tabs>
          <w:tab w:val="left" w:pos="312"/>
        </w:tabs>
        <w:spacing w:line="360" w:lineRule="auto"/>
        <w:ind w:firstLine="640" w:firstLineChars="200"/>
        <w:rPr>
          <w:rFonts w:hint="eastAsia" w:ascii="仿宋" w:hAnsi="仿宋" w:eastAsia="仿宋"/>
          <w:sz w:val="32"/>
          <w:szCs w:val="32"/>
        </w:rPr>
      </w:pPr>
      <w:bookmarkStart w:id="4" w:name="OLE_LINK6"/>
      <w:r>
        <w:rPr>
          <w:rFonts w:hint="eastAsia" w:ascii="仿宋" w:hAnsi="仿宋" w:eastAsia="仿宋"/>
          <w:sz w:val="32"/>
          <w:szCs w:val="32"/>
        </w:rPr>
        <w:t>《开采方案》</w:t>
      </w:r>
      <w:bookmarkEnd w:id="4"/>
      <w:r>
        <w:rPr>
          <w:rFonts w:hint="eastAsia" w:ascii="仿宋" w:hAnsi="仿宋" w:eastAsia="仿宋"/>
          <w:sz w:val="32"/>
          <w:szCs w:val="32"/>
        </w:rPr>
        <w:t>推荐产品方案为冶金熔剂用石英岩粒级产品；根据选矿试验研究结果和矿山实际矿石加工流程，提出初步选矿方案为破碎-分级工艺流程；该矿无可利用的共伴生矿种。</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六、矿产资源“三率”指标</w:t>
      </w:r>
    </w:p>
    <w:p>
      <w:pPr>
        <w:tabs>
          <w:tab w:val="left" w:pos="312"/>
        </w:tabs>
        <w:spacing w:line="360" w:lineRule="auto"/>
        <w:ind w:firstLine="640" w:firstLineChars="200"/>
        <w:rPr>
          <w:rFonts w:hint="eastAsia" w:ascii="仿宋" w:hAnsi="仿宋" w:eastAsia="仿宋"/>
          <w:sz w:val="32"/>
          <w:szCs w:val="32"/>
        </w:rPr>
      </w:pPr>
      <w:r>
        <w:rPr>
          <w:rFonts w:hint="eastAsia" w:ascii="仿宋" w:hAnsi="仿宋" w:eastAsia="仿宋"/>
          <w:sz w:val="32"/>
          <w:szCs w:val="32"/>
        </w:rPr>
        <w:t>矿业权人应采取有效措施确保“三率”指标达到国家有关标准要求。</w:t>
      </w:r>
    </w:p>
    <w:p>
      <w:pPr>
        <w:tabs>
          <w:tab w:val="left" w:pos="312"/>
        </w:tabs>
        <w:spacing w:line="360" w:lineRule="auto"/>
        <w:ind w:firstLine="640" w:firstLineChars="200"/>
        <w:rPr>
          <w:rFonts w:hint="eastAsia" w:ascii="仿宋" w:hAnsi="仿宋" w:eastAsia="仿宋"/>
          <w:sz w:val="32"/>
          <w:szCs w:val="32"/>
        </w:rPr>
      </w:pPr>
      <w:r>
        <w:rPr>
          <w:rFonts w:hint="eastAsia" w:ascii="仿宋" w:hAnsi="仿宋" w:eastAsia="仿宋"/>
          <w:sz w:val="32"/>
          <w:szCs w:val="32"/>
        </w:rPr>
        <w:t>《开采方案》推荐露天开采回采率95%，达到《矿产资源“三率”指标要求 第7部分：石英岩、石英砂岩、脉石英、天然石英砂、粉石英》（DZ/T 0462.7-2023）中石英岩矿的一般指标要求。全矿不涉及选矿回收率和综合利用率。</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七、说明与建议</w:t>
      </w:r>
    </w:p>
    <w:p>
      <w:pPr>
        <w:tabs>
          <w:tab w:val="left" w:pos="312"/>
        </w:tabs>
        <w:spacing w:line="360" w:lineRule="auto"/>
        <w:ind w:firstLine="640" w:firstLineChars="200"/>
        <w:rPr>
          <w:rFonts w:hint="eastAsia" w:ascii="仿宋" w:hAnsi="仿宋" w:eastAsia="仿宋"/>
          <w:sz w:val="32"/>
          <w:szCs w:val="32"/>
        </w:rPr>
      </w:pPr>
      <w:r>
        <w:rPr>
          <w:rFonts w:hint="eastAsia" w:ascii="仿宋" w:hAnsi="仿宋" w:eastAsia="仿宋"/>
          <w:sz w:val="32"/>
          <w:szCs w:val="32"/>
        </w:rPr>
        <w:t>1、矿山建设、生产中须严格执行安全、生态保护等规定。矿山安全、环境影响评价、矿区生态修复、水土保持等按照各相应主管部门审批的方案执行。</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2、该矿现整合后各采区间留有空白区，不利于矿产资源的</w:t>
      </w:r>
      <w:r>
        <w:rPr>
          <w:rFonts w:hint="eastAsia" w:ascii="仿宋" w:hAnsi="仿宋" w:eastAsia="仿宋" w:cs="宋体"/>
          <w:snapToGrid w:val="0"/>
          <w:color w:val="000000"/>
          <w:spacing w:val="4"/>
          <w:kern w:val="0"/>
          <w:sz w:val="32"/>
          <w:szCs w:val="32"/>
        </w:rPr>
        <w:t>节约集约安全开发利用，</w:t>
      </w:r>
      <w:r>
        <w:rPr>
          <w:rFonts w:hint="eastAsia" w:ascii="仿宋" w:hAnsi="仿宋" w:eastAsia="仿宋"/>
          <w:sz w:val="32"/>
          <w:szCs w:val="32"/>
        </w:rPr>
        <w:t>建议对各采区进行进一步整合。</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八、评审结论</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开采方案》符合《内蒙古自治区自然资源厅关于做好&lt;矿产资源法&gt;实施衔接过渡期矿产资源勘查方案、开采方案评审工作的公告》（公告〔2025〕27号）和《内蒙古自治区自然资源厅关于发布矿产资源勘查方案、开采方案评审临时服务指南的公告》(公告〔2025〕30号)等文件要求，同意通过评审。</w:t>
      </w:r>
    </w:p>
    <w:p>
      <w:pPr>
        <w:spacing w:line="360" w:lineRule="auto"/>
        <w:ind w:firstLine="4200" w:firstLineChars="1500"/>
      </w:pPr>
      <w:r>
        <w:rPr>
          <w:rFonts w:hint="eastAsia" w:ascii="仿宋_GB2312" w:hAnsi="宋体" w:eastAsia="仿宋_GB2312"/>
          <w:sz w:val="28"/>
          <w:szCs w:val="28"/>
        </w:rPr>
        <w:t>鄂尔多斯市地质调查监测院</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 xml:space="preserve">                </w:t>
      </w:r>
      <w:r>
        <w:rPr>
          <w:rFonts w:hint="eastAsia" w:ascii="仿宋" w:hAnsi="仿宋" w:eastAsia="仿宋"/>
          <w:sz w:val="32"/>
          <w:szCs w:val="32"/>
          <w:lang w:val="en-US" w:eastAsia="zh-CN"/>
        </w:rPr>
        <w:t xml:space="preserve">        </w:t>
      </w:r>
      <w:r>
        <w:rPr>
          <w:rFonts w:hint="eastAsia" w:ascii="仿宋" w:hAnsi="仿宋" w:eastAsia="仿宋"/>
          <w:sz w:val="32"/>
          <w:szCs w:val="32"/>
        </w:rPr>
        <w:t xml:space="preserve">  2026年1月16日</w:t>
      </w:r>
    </w:p>
    <w:p>
      <w:pPr>
        <w:spacing w:line="360" w:lineRule="auto"/>
        <w:ind w:firstLine="640" w:firstLineChars="200"/>
        <w:rPr>
          <w:rFonts w:hint="eastAsia" w:ascii="仿宋" w:hAnsi="仿宋" w:eastAsia="仿宋"/>
          <w:sz w:val="32"/>
          <w:szCs w:val="32"/>
        </w:rPr>
      </w:pPr>
      <w:r>
        <w:rPr>
          <w:rFonts w:hint="eastAsia" w:ascii="仿宋" w:hAnsi="仿宋" w:eastAsia="仿宋"/>
          <w:sz w:val="32"/>
          <w:szCs w:val="32"/>
        </w:rPr>
        <w:t>附件：《鄂托克旗润祥石英石矿业有限公司石英石矿开采方案》评审专家组人员名单</w:t>
      </w:r>
    </w:p>
    <w:p>
      <w:pPr>
        <w:pStyle w:val="4"/>
        <w:keepNext w:val="0"/>
        <w:keepLines w:val="0"/>
        <w:pageBreakBefore w:val="0"/>
        <w:widowControl w:val="0"/>
        <w:kinsoku/>
        <w:wordWrap/>
        <w:overflowPunct/>
        <w:topLinePunct w:val="0"/>
        <w:autoSpaceDE/>
        <w:autoSpaceDN/>
        <w:bidi w:val="0"/>
        <w:adjustRightInd/>
        <w:spacing w:line="560" w:lineRule="exact"/>
        <w:textAlignment w:val="auto"/>
        <w:rPr>
          <w:rFonts w:hint="eastAsia" w:ascii="黑体" w:hAnsi="黑体" w:eastAsia="黑体" w:cs="黑体"/>
          <w:color w:val="auto"/>
          <w:spacing w:val="0"/>
          <w:w w:val="100"/>
          <w:sz w:val="32"/>
          <w:szCs w:val="32"/>
          <w:highlight w:val="none"/>
          <w:lang w:val="en-US" w:eastAsia="zh-CN"/>
        </w:rPr>
      </w:pPr>
      <w:r>
        <w:rPr>
          <w:rFonts w:hint="eastAsia" w:ascii="黑体" w:hAnsi="黑体" w:eastAsia="黑体" w:cs="黑体"/>
          <w:color w:val="auto"/>
          <w:spacing w:val="0"/>
          <w:w w:val="100"/>
          <w:sz w:val="32"/>
          <w:szCs w:val="32"/>
          <w:highlight w:val="none"/>
          <w:lang w:eastAsia="zh-CN"/>
        </w:rPr>
        <w:t>附件</w:t>
      </w:r>
      <w:r>
        <w:rPr>
          <w:rFonts w:hint="eastAsia" w:ascii="黑体" w:hAnsi="黑体" w:eastAsia="黑体" w:cs="黑体"/>
          <w:color w:val="auto"/>
          <w:spacing w:val="0"/>
          <w:w w:val="100"/>
          <w:sz w:val="32"/>
          <w:szCs w:val="32"/>
          <w:highlight w:val="none"/>
          <w:lang w:val="en-US" w:eastAsia="zh-CN"/>
        </w:rPr>
        <w:t>2</w:t>
      </w:r>
    </w:p>
    <w:p>
      <w:pPr>
        <w:pStyle w:val="4"/>
        <w:keepNext w:val="0"/>
        <w:keepLines w:val="0"/>
        <w:pageBreakBefore w:val="0"/>
        <w:widowControl w:val="0"/>
        <w:kinsoku/>
        <w:wordWrap/>
        <w:overflowPunct/>
        <w:topLinePunct w:val="0"/>
        <w:autoSpaceDE/>
        <w:autoSpaceDN/>
        <w:bidi w:val="0"/>
        <w:adjustRightInd/>
        <w:spacing w:line="560" w:lineRule="exact"/>
        <w:textAlignment w:val="auto"/>
        <w:rPr>
          <w:rFonts w:hint="eastAsia" w:ascii="黑体" w:hAnsi="黑体" w:eastAsia="黑体" w:cs="黑体"/>
          <w:color w:val="auto"/>
          <w:spacing w:val="0"/>
          <w:w w:val="100"/>
          <w:sz w:val="32"/>
          <w:szCs w:val="32"/>
          <w:highlight w:val="none"/>
          <w:lang w:val="en-US" w:eastAsia="zh-CN"/>
        </w:rPr>
      </w:pPr>
    </w:p>
    <w:p>
      <w:pPr>
        <w:wordWrap w:val="0"/>
        <w:autoSpaceDE w:val="0"/>
        <w:autoSpaceDN w:val="0"/>
        <w:spacing w:before="0" w:after="0" w:line="700" w:lineRule="exact"/>
        <w:jc w:val="center"/>
        <w:rPr>
          <w:sz w:val="54"/>
        </w:rPr>
      </w:pPr>
      <w:r>
        <w:rPr>
          <w:rFonts w:hint="eastAsia" w:ascii="宋体" w:hAnsi="宋体" w:eastAsia="宋体"/>
          <w:b/>
          <w:color w:val="000000"/>
          <w:sz w:val="54"/>
        </w:rPr>
        <w:t>《鄂托克旗润祥石英石矿业有限公司石英石矿开采方案》</w:t>
      </w:r>
    </w:p>
    <w:p>
      <w:pPr>
        <w:wordWrap w:val="0"/>
        <w:autoSpaceDE w:val="0"/>
        <w:autoSpaceDN w:val="0"/>
        <w:spacing w:before="0" w:after="0" w:line="640" w:lineRule="exact"/>
        <w:jc w:val="center"/>
        <w:rPr>
          <w:rFonts w:hint="eastAsia" w:eastAsia="宋体"/>
          <w:sz w:val="54"/>
          <w:lang w:eastAsia="zh-CN"/>
        </w:rPr>
      </w:pPr>
      <w:r>
        <w:rPr>
          <w:rFonts w:hint="eastAsia" w:ascii="宋体" w:hAnsi="宋体" w:eastAsia="宋体"/>
          <w:b/>
          <w:color w:val="000000"/>
          <w:sz w:val="54"/>
          <w:lang w:eastAsia="zh-CN"/>
        </w:rPr>
        <w:t>评审</w:t>
      </w:r>
      <w:bookmarkStart w:id="5" w:name="_GoBack"/>
      <w:bookmarkEnd w:id="5"/>
      <w:r>
        <w:rPr>
          <w:rFonts w:hint="eastAsia" w:ascii="宋体" w:hAnsi="宋体" w:eastAsia="宋体"/>
          <w:b/>
          <w:color w:val="000000"/>
          <w:sz w:val="54"/>
        </w:rPr>
        <w:t>专家组人员名单</w:t>
      </w:r>
    </w:p>
    <w:p>
      <w:pPr>
        <w:wordWrap w:val="0"/>
        <w:autoSpaceDE w:val="0"/>
        <w:autoSpaceDN w:val="0"/>
        <w:spacing w:before="0" w:after="0" w:line="257" w:lineRule="exact"/>
        <w:ind w:firstLine="0"/>
        <w:jc w:val="both"/>
        <w:rPr>
          <w:rFonts w:hint="eastAsia" w:ascii="宋体" w:hAnsi="宋体" w:eastAsia="宋体"/>
          <w:color w:val="000000"/>
          <w:sz w:val="18"/>
        </w:rPr>
      </w:pPr>
    </w:p>
    <w:p>
      <w:pPr>
        <w:wordWrap w:val="0"/>
        <w:autoSpaceDE w:val="0"/>
        <w:autoSpaceDN w:val="0"/>
        <w:spacing w:before="0" w:after="0" w:line="311" w:lineRule="exact"/>
        <w:ind w:firstLine="0"/>
        <w:jc w:val="both"/>
        <w:rPr>
          <w:rFonts w:hint="eastAsia" w:ascii="宋体" w:hAnsi="宋体" w:eastAsia="宋体"/>
          <w:color w:val="000000"/>
          <w:sz w:val="24"/>
        </w:rPr>
      </w:pPr>
      <w:r>
        <w:rPr>
          <w:rFonts w:hint="eastAsia" w:eastAsia="宋体"/>
          <w:sz w:val="54"/>
          <w:lang w:eastAsia="zh-CN"/>
        </w:rPr>
        <w:drawing>
          <wp:anchor distT="0" distB="0" distL="114300" distR="114300" simplePos="0" relativeHeight="251658240" behindDoc="0" locked="0" layoutInCell="1" allowOverlap="1">
            <wp:simplePos x="0" y="0"/>
            <wp:positionH relativeFrom="column">
              <wp:posOffset>-897890</wp:posOffset>
            </wp:positionH>
            <wp:positionV relativeFrom="paragraph">
              <wp:posOffset>125095</wp:posOffset>
            </wp:positionV>
            <wp:extent cx="7196455" cy="4781550"/>
            <wp:effectExtent l="0" t="0" r="4445" b="0"/>
            <wp:wrapNone/>
            <wp:docPr id="3" name="图片 3" descr="微信图片_20260112152302_18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3" name="图片 3" descr="微信图片_20260112152302_188"/>
                    <pic:cNvPicPr>
                      <a:picLocks noChangeAspect="true"/>
                    </pic:cNvPicPr>
                  </pic:nvPicPr>
                  <pic:blipFill>
                    <a:blip r:embed="rId5"/>
                    <a:srcRect t="18673"/>
                    <a:stretch>
                      <a:fillRect/>
                    </a:stretch>
                  </pic:blipFill>
                  <pic:spPr>
                    <a:xfrm>
                      <a:off x="0" y="0"/>
                      <a:ext cx="7196455" cy="4781550"/>
                    </a:xfrm>
                    <a:prstGeom prst="rect">
                      <a:avLst/>
                    </a:prstGeom>
                  </pic:spPr>
                </pic:pic>
              </a:graphicData>
            </a:graphic>
          </wp:anchor>
        </w:drawing>
      </w:r>
    </w:p>
    <w:p>
      <w:pPr>
        <w:wordWrap w:val="0"/>
        <w:autoSpaceDE w:val="0"/>
        <w:autoSpaceDN w:val="0"/>
        <w:spacing w:before="0" w:after="0" w:line="311" w:lineRule="exact"/>
        <w:ind w:firstLine="0"/>
        <w:jc w:val="both"/>
        <w:rPr>
          <w:rFonts w:hint="eastAsia" w:ascii="宋体" w:hAnsi="宋体" w:eastAsia="宋体"/>
          <w:color w:val="000000"/>
          <w:sz w:val="24"/>
        </w:rPr>
      </w:pPr>
    </w:p>
    <w:p>
      <w:pPr>
        <w:spacing w:line="1" w:lineRule="exact"/>
        <w:rPr>
          <w:rFonts w:hint="eastAsia" w:eastAsia="宋体"/>
          <w:lang w:eastAsia="zh-CN"/>
        </w:rPr>
      </w:pPr>
      <w:r>
        <w:rPr>
          <w:rFonts w:hint="eastAsia" w:eastAsia="宋体"/>
          <w:lang w:eastAsia="zh-CN"/>
        </w:rPr>
        <w:drawing>
          <wp:inline distT="0" distB="0" distL="114300" distR="114300">
            <wp:extent cx="9569450" cy="7906385"/>
            <wp:effectExtent l="0" t="0" r="12700" b="18415"/>
            <wp:docPr id="2" name="图片 2" descr="微信图片_20260112152302_18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2" name="图片 2" descr="微信图片_20260112152302_188"/>
                    <pic:cNvPicPr>
                      <a:picLocks noChangeAspect="true"/>
                    </pic:cNvPicPr>
                  </pic:nvPicPr>
                  <pic:blipFill>
                    <a:blip r:embed="rId5"/>
                    <a:stretch>
                      <a:fillRect/>
                    </a:stretch>
                  </pic:blipFill>
                  <pic:spPr>
                    <a:xfrm>
                      <a:off x="0" y="0"/>
                      <a:ext cx="9569450" cy="7906385"/>
                    </a:xfrm>
                    <a:prstGeom prst="rect">
                      <a:avLst/>
                    </a:prstGeom>
                  </pic:spPr>
                </pic:pic>
              </a:graphicData>
            </a:graphic>
          </wp:inline>
        </w:drawing>
      </w:r>
      <w:r>
        <w:rPr>
          <w:rFonts w:hint="eastAsia" w:eastAsia="宋体"/>
          <w:lang w:eastAsia="zh-CN"/>
        </w:rPr>
        <w:drawing>
          <wp:inline distT="0" distB="0" distL="114300" distR="114300">
            <wp:extent cx="9569450" cy="7906385"/>
            <wp:effectExtent l="0" t="0" r="12700" b="18415"/>
            <wp:docPr id="1" name="图片 1" descr="微信图片_20260112152302_188"/>
            <wp:cNvGraphicFramePr>
              <a:graphicFrameLocks xmlns:a="http://schemas.openxmlformats.org/drawingml/2006/main" noChangeAspect="true"/>
            </wp:cNvGraphicFramePr>
            <a:graphic xmlns:a="http://schemas.openxmlformats.org/drawingml/2006/main">
              <a:graphicData uri="http://schemas.openxmlformats.org/drawingml/2006/picture">
                <pic:pic xmlns:pic="http://schemas.openxmlformats.org/drawingml/2006/picture">
                  <pic:nvPicPr>
                    <pic:cNvPr id="1" name="图片 1" descr="微信图片_20260112152302_188"/>
                    <pic:cNvPicPr>
                      <a:picLocks noChangeAspect="true"/>
                    </pic:cNvPicPr>
                  </pic:nvPicPr>
                  <pic:blipFill>
                    <a:blip r:embed="rId5"/>
                    <a:stretch>
                      <a:fillRect/>
                    </a:stretch>
                  </pic:blipFill>
                  <pic:spPr>
                    <a:xfrm>
                      <a:off x="0" y="0"/>
                      <a:ext cx="9569450" cy="7906385"/>
                    </a:xfrm>
                    <a:prstGeom prst="rect">
                      <a:avLst/>
                    </a:prstGeom>
                  </pic:spPr>
                </pic:pic>
              </a:graphicData>
            </a:graphic>
          </wp:inline>
        </w:drawing>
      </w:r>
    </w:p>
    <w:p>
      <w:pPr>
        <w:spacing w:line="360" w:lineRule="auto"/>
        <w:ind w:firstLine="640" w:firstLineChars="200"/>
        <w:rPr>
          <w:rFonts w:hint="eastAsia" w:ascii="仿宋" w:hAnsi="仿宋" w:eastAsia="仿宋"/>
          <w:sz w:val="32"/>
          <w:szCs w:val="32"/>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Nimbus Roman No9 L"/>
    <w:panose1 w:val="02020603050405020304"/>
    <w:charset w:val="01"/>
    <w:family w:val="roman"/>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Nimbus Roman No9 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auto"/>
    <w:pitch w:val="default"/>
    <w:sig w:usb0="00000001" w:usb1="080E0000" w:usb2="00000000" w:usb3="00000000" w:csb0="00040000" w:csb1="00000000"/>
  </w:font>
  <w:font w:name="新宋体">
    <w:altName w:val="方正书宋_GBK"/>
    <w:panose1 w:val="02010609030101010101"/>
    <w:charset w:val="86"/>
    <w:family w:val="modern"/>
    <w:pitch w:val="default"/>
    <w:sig w:usb0="00000000" w:usb1="00000000"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 w:name="Liberation Serif">
    <w:panose1 w:val="02020603050405020304"/>
    <w:charset w:val="00"/>
    <w:family w:val="auto"/>
    <w:pitch w:val="default"/>
    <w:sig w:usb0="A00002AF" w:usb1="500078FB" w:usb2="00000000" w:usb3="00000000" w:csb0="6000009F" w:csb1="DFD70000"/>
  </w:font>
  <w:font w:name="Nimbus Roman No9 L">
    <w:panose1 w:val="00000000000000000000"/>
    <w:charset w:val="00"/>
    <w:family w:val="auto"/>
    <w:pitch w:val="default"/>
    <w:sig w:usb0="00000000" w:usb1="00000000" w:usb2="00000000" w:usb3="00000000" w:csb0="00000000"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sdt>
    <w:sdtPr>
      <w:id w:val="303369749"/>
      <w:docPartObj>
        <w:docPartGallery w:val="autotext"/>
      </w:docPartObj>
    </w:sdtPr>
    <w:sdtContent>
      <w:p>
        <w:pPr>
          <w:pStyle w:val="5"/>
          <w:jc w:val="center"/>
        </w:pPr>
        <w:r>
          <w:fldChar w:fldCharType="begin"/>
        </w:r>
        <w:r>
          <w:instrText xml:space="preserve">PAGE   \* MERGEFORMAT</w:instrText>
        </w:r>
        <w:r>
          <w:fldChar w:fldCharType="separate"/>
        </w:r>
        <w:r>
          <w:rPr>
            <w:lang w:val="zh-CN"/>
          </w:rPr>
          <w:t>2</w:t>
        </w:r>
        <w:r>
          <w:fldChar w:fldCharType="end"/>
        </w:r>
      </w:p>
    </w:sdtContent>
  </w:sdt>
  <w:p>
    <w:pPr>
      <w:pStyle w:val="5"/>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2EF4C4E"/>
    <w:rsid w:val="0001600D"/>
    <w:rsid w:val="00030267"/>
    <w:rsid w:val="00082759"/>
    <w:rsid w:val="000B36CD"/>
    <w:rsid w:val="0013019D"/>
    <w:rsid w:val="001302DC"/>
    <w:rsid w:val="00163B3A"/>
    <w:rsid w:val="0016794F"/>
    <w:rsid w:val="00192B20"/>
    <w:rsid w:val="00211C91"/>
    <w:rsid w:val="00242F0D"/>
    <w:rsid w:val="0028516B"/>
    <w:rsid w:val="002D25F3"/>
    <w:rsid w:val="002E5122"/>
    <w:rsid w:val="003518AF"/>
    <w:rsid w:val="0035404E"/>
    <w:rsid w:val="003C7FFE"/>
    <w:rsid w:val="003D0890"/>
    <w:rsid w:val="0040643C"/>
    <w:rsid w:val="004C0666"/>
    <w:rsid w:val="00517838"/>
    <w:rsid w:val="00531957"/>
    <w:rsid w:val="00563D6B"/>
    <w:rsid w:val="005A00A9"/>
    <w:rsid w:val="005D46FD"/>
    <w:rsid w:val="00614FA7"/>
    <w:rsid w:val="00633036"/>
    <w:rsid w:val="00673FDF"/>
    <w:rsid w:val="006D3DF1"/>
    <w:rsid w:val="00747B4F"/>
    <w:rsid w:val="00751323"/>
    <w:rsid w:val="007614C7"/>
    <w:rsid w:val="007C5EFD"/>
    <w:rsid w:val="007F1B89"/>
    <w:rsid w:val="00824E9A"/>
    <w:rsid w:val="00832AD7"/>
    <w:rsid w:val="00870B15"/>
    <w:rsid w:val="008F0EF3"/>
    <w:rsid w:val="00947589"/>
    <w:rsid w:val="009769F3"/>
    <w:rsid w:val="00990F63"/>
    <w:rsid w:val="009C6AC5"/>
    <w:rsid w:val="009E183E"/>
    <w:rsid w:val="00A10DFE"/>
    <w:rsid w:val="00A60B5D"/>
    <w:rsid w:val="00A80B45"/>
    <w:rsid w:val="00AD2EE7"/>
    <w:rsid w:val="00B2758D"/>
    <w:rsid w:val="00B33CEA"/>
    <w:rsid w:val="00B37844"/>
    <w:rsid w:val="00BA245C"/>
    <w:rsid w:val="00C01022"/>
    <w:rsid w:val="00C0501B"/>
    <w:rsid w:val="00C106AD"/>
    <w:rsid w:val="00C7362F"/>
    <w:rsid w:val="00CD59F9"/>
    <w:rsid w:val="00CF3652"/>
    <w:rsid w:val="00CF63F8"/>
    <w:rsid w:val="00D62298"/>
    <w:rsid w:val="00D84402"/>
    <w:rsid w:val="00D87186"/>
    <w:rsid w:val="00E038B8"/>
    <w:rsid w:val="00E05E5B"/>
    <w:rsid w:val="00E7301F"/>
    <w:rsid w:val="00E805CF"/>
    <w:rsid w:val="00ED34CF"/>
    <w:rsid w:val="00F26B94"/>
    <w:rsid w:val="00F3639F"/>
    <w:rsid w:val="00F42B2B"/>
    <w:rsid w:val="00F820FB"/>
    <w:rsid w:val="00F871CF"/>
    <w:rsid w:val="00FA7EA1"/>
    <w:rsid w:val="00FE3057"/>
    <w:rsid w:val="0247556A"/>
    <w:rsid w:val="10ED34D7"/>
    <w:rsid w:val="279E1F73"/>
    <w:rsid w:val="2E157DAA"/>
    <w:rsid w:val="32EF4C4E"/>
    <w:rsid w:val="3FF6EBA7"/>
    <w:rsid w:val="48E35935"/>
    <w:rsid w:val="7F8F1C3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2">
    <w:name w:val="toc 1"/>
    <w:basedOn w:val="1"/>
    <w:next w:val="1"/>
    <w:qFormat/>
    <w:uiPriority w:val="39"/>
    <w:pPr>
      <w:spacing w:before="120" w:beforeLines="0" w:after="120" w:afterLines="0"/>
      <w:jc w:val="left"/>
    </w:pPr>
    <w:rPr>
      <w:b/>
      <w:bCs/>
      <w:caps/>
      <w:sz w:val="20"/>
    </w:rPr>
  </w:style>
  <w:style w:type="paragraph" w:styleId="3">
    <w:name w:val="Body Text Indent"/>
    <w:basedOn w:val="1"/>
    <w:next w:val="1"/>
    <w:uiPriority w:val="0"/>
    <w:pPr>
      <w:spacing w:after="120"/>
      <w:ind w:left="420" w:leftChars="200"/>
    </w:pPr>
  </w:style>
  <w:style w:type="paragraph" w:styleId="4">
    <w:name w:val="endnote text"/>
    <w:basedOn w:val="1"/>
    <w:qFormat/>
    <w:uiPriority w:val="0"/>
    <w:pPr>
      <w:snapToGrid w:val="0"/>
      <w:jc w:val="left"/>
    </w:pPr>
    <w:rPr>
      <w:kern w:val="0"/>
      <w:sz w:val="21"/>
      <w:lang/>
    </w:rPr>
  </w:style>
  <w:style w:type="paragraph" w:styleId="5">
    <w:name w:val="footer"/>
    <w:basedOn w:val="1"/>
    <w:link w:val="11"/>
    <w:uiPriority w:val="0"/>
    <w:pPr>
      <w:tabs>
        <w:tab w:val="center" w:pos="4153"/>
        <w:tab w:val="right" w:pos="8306"/>
      </w:tabs>
      <w:snapToGrid w:val="0"/>
      <w:jc w:val="left"/>
    </w:pPr>
    <w:rPr>
      <w:sz w:val="18"/>
      <w:szCs w:val="18"/>
    </w:rPr>
  </w:style>
  <w:style w:type="paragraph" w:styleId="6">
    <w:name w:val="header"/>
    <w:basedOn w:val="1"/>
    <w:link w:val="10"/>
    <w:uiPriority w:val="0"/>
    <w:pPr>
      <w:tabs>
        <w:tab w:val="center" w:pos="4153"/>
        <w:tab w:val="right" w:pos="8306"/>
      </w:tabs>
      <w:snapToGrid w:val="0"/>
      <w:jc w:val="center"/>
    </w:pPr>
    <w:rPr>
      <w:sz w:val="18"/>
      <w:szCs w:val="18"/>
    </w:rPr>
  </w:style>
  <w:style w:type="paragraph" w:styleId="7">
    <w:name w:val="Body Text First Indent 2"/>
    <w:basedOn w:val="1"/>
    <w:next w:val="3"/>
    <w:uiPriority w:val="0"/>
    <w:pPr>
      <w:ind w:firstLine="420" w:firstLineChars="200"/>
    </w:pPr>
  </w:style>
  <w:style w:type="character" w:customStyle="1" w:styleId="10">
    <w:name w:val="页眉 字符"/>
    <w:basedOn w:val="9"/>
    <w:link w:val="6"/>
    <w:qFormat/>
    <w:uiPriority w:val="0"/>
    <w:rPr>
      <w:kern w:val="2"/>
      <w:sz w:val="18"/>
      <w:szCs w:val="18"/>
    </w:rPr>
  </w:style>
  <w:style w:type="character" w:customStyle="1" w:styleId="11">
    <w:name w:val="页脚 字符"/>
    <w:basedOn w:val="9"/>
    <w:link w:val="5"/>
    <w:qFormat/>
    <w:uiPriority w:val="99"/>
    <w:rPr>
      <w:kern w:val="2"/>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false"/>
        </a:gradFill>
        <a:gradFill>
          <a:gsLst>
            <a:gs pos="0">
              <a:schemeClr val="phClr">
                <a:hueOff val="-2520000"/>
              </a:schemeClr>
            </a:gs>
            <a:gs pos="100000">
              <a:schemeClr val="phClr"/>
            </a:gs>
          </a:gsLst>
          <a:lin ang="2700000" scaled="false"/>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true"/>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1075</Words>
  <Characters>1227</Characters>
  <Lines>81</Lines>
  <Paragraphs>48</Paragraphs>
  <TotalTime>2</TotalTime>
  <ScaleCrop>false</ScaleCrop>
  <LinksUpToDate>false</LinksUpToDate>
  <CharactersWithSpaces>2254</CharactersWithSpaces>
  <Application>WPS Office_11.8.2.10386_F1E327BC-269C-435d-A152-05C5408002CA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2026-01-12T23:20:00Z</dcterms:created>
  <dc:creator>INTSIG</dc:creator>
  <dc:description>Intsig Word Converter</dc:description>
  <cp:lastModifiedBy>greatwall</cp:lastModifiedBy>
  <dcterms:modified xsi:type="dcterms:W3CDTF">2026-01-17T19:02:48Z</dcterms:modified>
  <dc:title>wordbuilder</dc:title>
  <cp:revision>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2052-11.8.2.10386</vt:lpwstr>
  </property>
  <property fmtid="{D5CDD505-2E9C-101B-9397-08002B2CF9AE}" pid="3" name="ICV">
    <vt:lpwstr>5A9D9852942E4E58AD23D431BF470433_11</vt:lpwstr>
  </property>
  <property fmtid="{D5CDD505-2E9C-101B-9397-08002B2CF9AE}" pid="4" name="KSOTemplateDocerSaveRecord">
    <vt:lpwstr>eyJoZGlkIjoiMzEwNTM5NzYwMDRjMzkwZTVkZjY2ODkwMGIxNGU0OTUifQ==</vt:lpwstr>
  </property>
</Properties>
</file>