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="黑体" w:hAnsi="黑体" w:eastAsia="黑体"/>
        </w:rPr>
      </w:pPr>
      <w:bookmarkStart w:id="4" w:name="_GoBack"/>
      <w:bookmarkEnd w:id="4"/>
    </w:p>
    <w:p>
      <w:pPr>
        <w:spacing w:line="360" w:lineRule="auto"/>
        <w:ind w:left="-124" w:leftChars="-59" w:right="-248" w:rightChars="-118"/>
        <w:jc w:val="center"/>
        <w:outlineLvl w:val="0"/>
        <w:rPr>
          <w:rFonts w:hint="eastAsia" w:ascii="仿宋" w:hAnsi="仿宋" w:eastAsia="仿宋" w:cs="仿宋"/>
          <w:sz w:val="36"/>
          <w:szCs w:val="36"/>
        </w:rPr>
      </w:pPr>
    </w:p>
    <w:p>
      <w:pPr>
        <w:spacing w:line="360" w:lineRule="auto"/>
        <w:ind w:left="-124" w:leftChars="-59" w:right="-248" w:rightChars="-118"/>
        <w:jc w:val="center"/>
        <w:outlineLvl w:val="0"/>
        <w:rPr>
          <w:rFonts w:hint="eastAsia" w:ascii="仿宋" w:hAnsi="仿宋" w:eastAsia="仿宋" w:cs="仿宋"/>
          <w:sz w:val="36"/>
          <w:szCs w:val="36"/>
        </w:rPr>
      </w:pPr>
    </w:p>
    <w:p>
      <w:pPr>
        <w:spacing w:line="700" w:lineRule="exact"/>
        <w:jc w:val="center"/>
        <w:rPr>
          <w:rFonts w:hint="eastAsia" w:ascii="方正小标宋简体" w:hAnsi="宋体" w:eastAsia="方正小标宋简体" w:cs="宋体"/>
          <w:sz w:val="44"/>
          <w:szCs w:val="44"/>
        </w:rPr>
      </w:pPr>
      <w:r>
        <w:rPr>
          <w:rFonts w:hint="eastAsia" w:ascii="方正小标宋简体" w:hAnsi="宋体" w:eastAsia="方正小标宋简体" w:cs="宋体"/>
          <w:sz w:val="44"/>
          <w:szCs w:val="44"/>
        </w:rPr>
        <w:t>《鄂托克旗广源矿业有限公司硅石矿</w:t>
      </w:r>
    </w:p>
    <w:p>
      <w:pPr>
        <w:spacing w:line="700" w:lineRule="exact"/>
        <w:jc w:val="center"/>
        <w:rPr>
          <w:rFonts w:hint="eastAsia" w:ascii="方正小标宋简体" w:hAnsi="宋体" w:eastAsia="方正小标宋简体" w:cs="宋体"/>
          <w:sz w:val="44"/>
          <w:szCs w:val="44"/>
        </w:rPr>
      </w:pPr>
      <w:r>
        <w:rPr>
          <w:rFonts w:hint="eastAsia" w:ascii="方正小标宋简体" w:hAnsi="宋体" w:eastAsia="方正小标宋简体" w:cs="宋体"/>
          <w:sz w:val="44"/>
          <w:szCs w:val="44"/>
        </w:rPr>
        <w:t>开采方案》</w:t>
      </w:r>
    </w:p>
    <w:p>
      <w:pPr>
        <w:spacing w:line="640" w:lineRule="atLeast"/>
        <w:jc w:val="center"/>
        <w:rPr>
          <w:rFonts w:hint="eastAsia" w:ascii="黑体" w:hAnsi="黑体" w:eastAsia="黑体" w:cs="新宋体"/>
          <w:sz w:val="44"/>
          <w:szCs w:val="44"/>
        </w:rPr>
      </w:pPr>
    </w:p>
    <w:p>
      <w:pPr>
        <w:pStyle w:val="12"/>
        <w:rPr>
          <w:rFonts w:hint="eastAsia" w:ascii="仿宋" w:hAnsi="仿宋" w:eastAsia="仿宋" w:cs="仿宋"/>
        </w:rPr>
      </w:pPr>
    </w:p>
    <w:p>
      <w:pPr>
        <w:spacing w:line="360" w:lineRule="auto"/>
        <w:jc w:val="center"/>
        <w:outlineLvl w:val="0"/>
        <w:rPr>
          <w:rFonts w:hint="eastAsia" w:asciiTheme="minorEastAsia" w:hAnsiTheme="minorEastAsia" w:cstheme="minorEastAsia"/>
          <w:b/>
          <w:sz w:val="52"/>
          <w:szCs w:val="52"/>
        </w:rPr>
      </w:pPr>
      <w:r>
        <w:rPr>
          <w:rFonts w:hint="eastAsia" w:asciiTheme="minorEastAsia" w:hAnsiTheme="minorEastAsia" w:cstheme="minorEastAsia"/>
          <w:b/>
          <w:sz w:val="52"/>
          <w:szCs w:val="52"/>
        </w:rPr>
        <w:t>评   审  意  见  书</w:t>
      </w:r>
    </w:p>
    <w:p>
      <w:pPr>
        <w:pStyle w:val="12"/>
        <w:spacing w:line="560" w:lineRule="atLeast"/>
        <w:ind w:firstLine="640"/>
        <w:rPr>
          <w:rFonts w:hint="eastAsia" w:asciiTheme="minorEastAsia" w:hAnsiTheme="minorEastAsia" w:cstheme="minorEastAsia"/>
          <w:sz w:val="32"/>
          <w:szCs w:val="32"/>
        </w:rPr>
      </w:pPr>
    </w:p>
    <w:p>
      <w:pPr>
        <w:spacing w:line="560" w:lineRule="atLeast"/>
        <w:jc w:val="center"/>
        <w:outlineLvl w:val="0"/>
        <w:rPr>
          <w:rFonts w:hint="eastAsia" w:asciiTheme="minorEastAsia" w:hAnsi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</w:rPr>
        <w:t>鄂矿审字</w:t>
      </w:r>
      <w:r>
        <w:rPr>
          <w:rFonts w:hint="eastAsia" w:asciiTheme="minorEastAsia" w:hAnsiTheme="minorEastAsia" w:cstheme="minorEastAsia"/>
          <w:sz w:val="32"/>
        </w:rPr>
        <w:t>〔2026〕</w:t>
      </w:r>
      <w:r>
        <w:rPr>
          <w:rFonts w:hint="eastAsia" w:asciiTheme="minorEastAsia" w:hAnsiTheme="minorEastAsia" w:cstheme="minorEastAsia"/>
          <w:sz w:val="32"/>
          <w:lang w:val="en-US" w:eastAsia="zh-CN"/>
        </w:rPr>
        <w:t>4</w:t>
      </w:r>
      <w:r>
        <w:rPr>
          <w:rFonts w:hint="eastAsia" w:asciiTheme="minorEastAsia" w:hAnsiTheme="minorEastAsia" w:cstheme="minorEastAsia"/>
          <w:sz w:val="32"/>
          <w:szCs w:val="32"/>
        </w:rPr>
        <w:t>号</w:t>
      </w:r>
    </w:p>
    <w:p>
      <w:pPr>
        <w:spacing w:line="360" w:lineRule="auto"/>
        <w:jc w:val="center"/>
        <w:rPr>
          <w:rFonts w:hint="eastAsia" w:asciiTheme="minorEastAsia" w:hAnsiTheme="minorEastAsia" w:cstheme="minorEastAsia"/>
          <w:b/>
          <w:sz w:val="30"/>
          <w:szCs w:val="30"/>
        </w:rPr>
      </w:pPr>
    </w:p>
    <w:p>
      <w:pPr>
        <w:jc w:val="center"/>
        <w:rPr>
          <w:rFonts w:hint="eastAsia" w:ascii="宋体" w:hAnsi="宋体" w:eastAsia="宋体"/>
          <w:sz w:val="32"/>
          <w:szCs w:val="32"/>
        </w:rPr>
      </w:pPr>
    </w:p>
    <w:p>
      <w:pPr>
        <w:jc w:val="center"/>
        <w:rPr>
          <w:rFonts w:hint="eastAsia" w:ascii="宋体" w:hAnsi="宋体" w:eastAsia="宋体"/>
          <w:sz w:val="32"/>
          <w:szCs w:val="32"/>
        </w:rPr>
      </w:pPr>
    </w:p>
    <w:p>
      <w:pPr>
        <w:jc w:val="center"/>
        <w:rPr>
          <w:rFonts w:hint="eastAsia" w:ascii="宋体" w:hAnsi="宋体" w:eastAsia="宋体"/>
          <w:sz w:val="32"/>
          <w:szCs w:val="32"/>
        </w:rPr>
      </w:pPr>
    </w:p>
    <w:p>
      <w:pPr>
        <w:jc w:val="center"/>
        <w:rPr>
          <w:rFonts w:hint="eastAsia" w:ascii="宋体" w:hAnsi="宋体" w:eastAsia="宋体"/>
          <w:sz w:val="32"/>
          <w:szCs w:val="32"/>
        </w:rPr>
      </w:pPr>
    </w:p>
    <w:p>
      <w:pPr>
        <w:jc w:val="center"/>
        <w:rPr>
          <w:rFonts w:hint="eastAsia" w:ascii="宋体" w:hAnsi="宋体" w:eastAsia="宋体"/>
          <w:sz w:val="32"/>
          <w:szCs w:val="32"/>
        </w:rPr>
      </w:pPr>
    </w:p>
    <w:p>
      <w:pPr>
        <w:jc w:val="center"/>
        <w:rPr>
          <w:rFonts w:hint="eastAsia" w:ascii="宋体" w:hAnsi="宋体" w:eastAsia="宋体"/>
          <w:sz w:val="32"/>
          <w:szCs w:val="32"/>
        </w:rPr>
      </w:pPr>
    </w:p>
    <w:p>
      <w:pPr>
        <w:jc w:val="center"/>
        <w:rPr>
          <w:rFonts w:hint="eastAsia" w:ascii="宋体" w:hAnsi="宋体" w:eastAsia="宋体"/>
          <w:sz w:val="32"/>
          <w:szCs w:val="32"/>
        </w:rPr>
      </w:pPr>
    </w:p>
    <w:p>
      <w:pPr>
        <w:jc w:val="center"/>
        <w:rPr>
          <w:rFonts w:hint="eastAsia" w:ascii="宋体" w:hAnsi="宋体" w:eastAsia="宋体"/>
          <w:sz w:val="32"/>
          <w:szCs w:val="32"/>
        </w:rPr>
      </w:pPr>
    </w:p>
    <w:p>
      <w:pPr>
        <w:jc w:val="center"/>
        <w:rPr>
          <w:rFonts w:hint="eastAsia" w:ascii="宋体" w:hAnsi="宋体" w:eastAsia="宋体"/>
          <w:sz w:val="32"/>
          <w:szCs w:val="32"/>
        </w:rPr>
      </w:pPr>
    </w:p>
    <w:p>
      <w:pPr>
        <w:jc w:val="center"/>
        <w:rPr>
          <w:rFonts w:hint="eastAsia"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2026年1月16日</w:t>
      </w:r>
    </w:p>
    <w:p>
      <w:pPr>
        <w:spacing w:line="360" w:lineRule="auto"/>
        <w:jc w:val="left"/>
        <w:rPr>
          <w:rFonts w:hint="eastAsia" w:ascii="宋体" w:hAnsi="宋体"/>
          <w:sz w:val="32"/>
          <w:szCs w:val="32"/>
        </w:rPr>
      </w:pPr>
    </w:p>
    <w:p>
      <w:pPr>
        <w:spacing w:line="360" w:lineRule="auto"/>
        <w:jc w:val="left"/>
        <w:rPr>
          <w:rFonts w:hint="eastAsia" w:ascii="宋体" w:hAnsi="宋体"/>
          <w:sz w:val="32"/>
          <w:szCs w:val="32"/>
        </w:rPr>
      </w:pPr>
    </w:p>
    <w:p>
      <w:pPr>
        <w:spacing w:line="360" w:lineRule="auto"/>
        <w:jc w:val="left"/>
        <w:rPr>
          <w:rFonts w:hint="eastAsia" w:ascii="宋体" w:hAnsi="宋体"/>
          <w:sz w:val="32"/>
          <w:szCs w:val="32"/>
        </w:rPr>
      </w:pPr>
    </w:p>
    <w:p>
      <w:pPr>
        <w:spacing w:line="360" w:lineRule="auto"/>
        <w:jc w:val="left"/>
        <w:rPr>
          <w:rFonts w:hint="eastAsia" w:ascii="宋体" w:hAnsi="宋体"/>
          <w:sz w:val="32"/>
          <w:szCs w:val="32"/>
        </w:rPr>
      </w:pPr>
    </w:p>
    <w:p>
      <w:pPr>
        <w:spacing w:line="360" w:lineRule="auto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申请单位：鄂托克旗广源矿业有限公司</w:t>
      </w:r>
    </w:p>
    <w:p>
      <w:pPr>
        <w:spacing w:line="360" w:lineRule="auto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编制单位：内蒙古华远地质勘查技术有限公司</w:t>
      </w:r>
    </w:p>
    <w:p>
      <w:pPr>
        <w:spacing w:line="360" w:lineRule="auto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主要编写人：赵燕飞 冯龙 苏和 张碧璇 苏杭 任永春</w:t>
      </w:r>
    </w:p>
    <w:p>
      <w:pPr>
        <w:spacing w:line="360" w:lineRule="auto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编制日期： 2025年11月</w:t>
      </w:r>
    </w:p>
    <w:p>
      <w:pPr>
        <w:spacing w:line="360" w:lineRule="auto"/>
        <w:jc w:val="left"/>
        <w:rPr>
          <w:rFonts w:hint="eastAsia" w:ascii="仿宋" w:hAnsi="仿宋" w:eastAsia="仿宋"/>
          <w:color w:val="EE0000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受理日期：2025年11月28日</w:t>
      </w:r>
    </w:p>
    <w:p>
      <w:pPr>
        <w:spacing w:line="360" w:lineRule="auto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汇报人：赵燕飞</w:t>
      </w:r>
    </w:p>
    <w:p>
      <w:pPr>
        <w:spacing w:line="360" w:lineRule="auto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评审专家组</w:t>
      </w:r>
    </w:p>
    <w:p>
      <w:pPr>
        <w:spacing w:line="360" w:lineRule="auto"/>
        <w:ind w:firstLine="960" w:firstLineChars="300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组  长：袁龙建（采  矿）</w:t>
      </w:r>
    </w:p>
    <w:p>
      <w:pPr>
        <w:spacing w:line="360" w:lineRule="auto"/>
        <w:ind w:left="1480" w:leftChars="400" w:hanging="640" w:hangingChars="200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成  员：翟永刚（采  矿）   和静（地质矿产）</w:t>
      </w:r>
    </w:p>
    <w:p>
      <w:pPr>
        <w:spacing w:line="360" w:lineRule="auto"/>
        <w:ind w:left="1155" w:leftChars="550" w:firstLine="960" w:firstLineChars="300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遆晓刚（水工环）   贾凤梅（选  冶）</w:t>
      </w:r>
    </w:p>
    <w:p>
      <w:pPr>
        <w:spacing w:line="360" w:lineRule="auto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评审方式：会议评审</w:t>
      </w:r>
    </w:p>
    <w:p>
      <w:pPr>
        <w:spacing w:line="360" w:lineRule="auto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评审日期：2025年 12月5日</w:t>
      </w:r>
    </w:p>
    <w:p>
      <w:pPr>
        <w:spacing w:line="360" w:lineRule="auto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评审地点：呼和浩特市</w:t>
      </w:r>
    </w:p>
    <w:p>
      <w:pPr>
        <w:spacing w:line="50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</w:p>
    <w:p>
      <w:pPr>
        <w:spacing w:line="50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</w:p>
    <w:p>
      <w:pPr>
        <w:spacing w:line="50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</w:p>
    <w:p>
      <w:pPr>
        <w:spacing w:line="50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</w:p>
    <w:p>
      <w:pPr>
        <w:spacing w:line="50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</w:p>
    <w:p>
      <w:pPr>
        <w:spacing w:line="560" w:lineRule="exact"/>
        <w:rPr>
          <w:rFonts w:hint="eastAsia" w:ascii="宋体" w:hAnsi="宋体" w:eastAsia="宋体"/>
          <w:sz w:val="28"/>
          <w:szCs w:val="28"/>
        </w:rPr>
      </w:pPr>
    </w:p>
    <w:p>
      <w:pPr>
        <w:spacing w:line="360" w:lineRule="auto"/>
        <w:ind w:firstLine="440" w:firstLineChars="210"/>
        <w:rPr>
          <w:rFonts w:hint="eastAsia" w:ascii="宋体" w:hAnsi="宋体"/>
          <w:bCs/>
        </w:rPr>
      </w:pPr>
    </w:p>
    <w:p>
      <w:pPr>
        <w:spacing w:line="5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鄂尔多斯市地质调查监测院2025年11月28日受理了鄂托克旗广源矿业有限公司提交、内蒙古华远地质勘查技术有限公司编制的《鄂托克旗广源矿业有限公司硅石矿开采方案》（以下简称《开采方案》），依据《内蒙古自治区自然资源厅关于做好&lt;矿产资源法&gt;实施衔接过渡期矿产资源勘查方案、开采方案评审工作的公告》（公告〔2025〕27号）和《内蒙古自治区自然资源厅关于发布矿产资源勘查方案、开采方案评审临时服务指南的公告》(公告〔2025〕30号)等文件，于2025年12月5日在呼和浩特市组织专家对《开采方案》进行了评审。会后方案提交单位按专家组意见对方案进行了修改完善，于2026年1月4日返回修改稿，经专家组复核后形成仅供矿业权管理使用的评审意见如下：</w:t>
      </w:r>
    </w:p>
    <w:p>
      <w:pPr>
        <w:spacing w:line="5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一、方案的编制目的</w:t>
      </w:r>
    </w:p>
    <w:p>
      <w:pPr>
        <w:spacing w:line="5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《开采方案》编制目的</w:t>
      </w:r>
      <w:bookmarkStart w:id="0" w:name="_Hlk206962529"/>
      <w:r>
        <w:rPr>
          <w:rFonts w:hint="eastAsia" w:ascii="仿宋" w:hAnsi="仿宋" w:eastAsia="仿宋"/>
          <w:sz w:val="32"/>
          <w:szCs w:val="32"/>
        </w:rPr>
        <w:t>属于</w:t>
      </w:r>
      <w:bookmarkEnd w:id="0"/>
      <w:bookmarkStart w:id="1" w:name="_Hlk206962560"/>
      <w:r>
        <w:rPr>
          <w:rFonts w:hint="eastAsia" w:ascii="仿宋" w:hAnsi="仿宋" w:eastAsia="仿宋"/>
          <w:sz w:val="32"/>
          <w:szCs w:val="32"/>
        </w:rPr>
        <w:t>扩大开采区域</w:t>
      </w:r>
      <w:bookmarkEnd w:id="1"/>
      <w:r>
        <w:rPr>
          <w:rFonts w:hint="eastAsia" w:ascii="仿宋" w:hAnsi="仿宋" w:eastAsia="仿宋"/>
          <w:sz w:val="32"/>
          <w:szCs w:val="32"/>
        </w:rPr>
        <w:t>（已设矿业权整合）。</w:t>
      </w:r>
    </w:p>
    <w:p>
      <w:pPr>
        <w:spacing w:line="4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二、矿区地质与矿产资源情况</w:t>
      </w:r>
    </w:p>
    <w:p>
      <w:pPr>
        <w:spacing w:line="4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依据《内蒙古自治区鄂托克旗广源矿业有限公司硅石矿矿区（整合）平板玻璃用、冶金熔剂用石英砂岩矿资源储量核实报告》矿产资源储量评审意见书（鄂自然资储评字〔2025〕15号）和评审备案的复函（鄂自然资储备字〔2025〕15号），矿床勘查控制程度达到了勘探程度要求，可作为编制开采方案的依据。</w:t>
      </w:r>
    </w:p>
    <w:p>
      <w:pPr>
        <w:snapToGrid w:val="0"/>
        <w:spacing w:line="4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截止2024年10月31日，</w:t>
      </w:r>
      <w:r>
        <w:rPr>
          <w:rFonts w:hint="eastAsia" w:ascii="仿宋" w:hAnsi="仿宋" w:eastAsia="仿宋" w:cs="宋体"/>
          <w:sz w:val="32"/>
          <w:szCs w:val="32"/>
        </w:rPr>
        <w:t>鄂托克旗广源矿业有限公司硅石矿矿区（整合）范围内累计查明平板玻璃用石英砂岩矿资源量1213.3万吨，动用资源量739.3万吨，保有资源量474.0万吨。其中探明资源量166.4万吨，控制资源量91.3万吨，推断资源量216.3万吨，矿床平均品位SiO</w:t>
      </w:r>
      <w:r>
        <w:rPr>
          <w:rFonts w:hint="eastAsia" w:ascii="仿宋" w:hAnsi="仿宋" w:eastAsia="仿宋" w:cs="宋体"/>
          <w:sz w:val="32"/>
          <w:szCs w:val="32"/>
          <w:vertAlign w:val="subscript"/>
        </w:rPr>
        <w:t xml:space="preserve">2 </w:t>
      </w:r>
      <w:r>
        <w:rPr>
          <w:rFonts w:hint="eastAsia" w:ascii="仿宋" w:hAnsi="仿宋" w:eastAsia="仿宋" w:cs="宋体"/>
          <w:sz w:val="32"/>
          <w:szCs w:val="32"/>
        </w:rPr>
        <w:t>97.87%、Al</w:t>
      </w:r>
      <w:r>
        <w:rPr>
          <w:rFonts w:hint="eastAsia" w:ascii="仿宋" w:hAnsi="仿宋" w:eastAsia="仿宋" w:cs="宋体"/>
          <w:sz w:val="32"/>
          <w:szCs w:val="32"/>
          <w:vertAlign w:val="subscript"/>
        </w:rPr>
        <w:t>2</w:t>
      </w:r>
      <w:r>
        <w:rPr>
          <w:rFonts w:hint="eastAsia" w:ascii="仿宋" w:hAnsi="仿宋" w:eastAsia="仿宋" w:cs="宋体"/>
          <w:sz w:val="32"/>
          <w:szCs w:val="32"/>
        </w:rPr>
        <w:t>O</w:t>
      </w:r>
      <w:r>
        <w:rPr>
          <w:rFonts w:hint="eastAsia" w:ascii="仿宋" w:hAnsi="仿宋" w:eastAsia="仿宋" w:cs="宋体"/>
          <w:sz w:val="32"/>
          <w:szCs w:val="32"/>
          <w:vertAlign w:val="subscript"/>
        </w:rPr>
        <w:t xml:space="preserve">3 </w:t>
      </w:r>
      <w:r>
        <w:rPr>
          <w:rFonts w:hint="eastAsia" w:ascii="仿宋" w:hAnsi="仿宋" w:eastAsia="仿宋" w:cs="宋体"/>
          <w:sz w:val="32"/>
          <w:szCs w:val="32"/>
        </w:rPr>
        <w:t>0.24%、Fe</w:t>
      </w:r>
      <w:r>
        <w:rPr>
          <w:rFonts w:hint="eastAsia" w:ascii="仿宋" w:hAnsi="仿宋" w:eastAsia="仿宋" w:cs="宋体"/>
          <w:sz w:val="32"/>
          <w:szCs w:val="32"/>
          <w:vertAlign w:val="subscript"/>
        </w:rPr>
        <w:t>2</w:t>
      </w:r>
      <w:r>
        <w:rPr>
          <w:rFonts w:hint="eastAsia" w:ascii="仿宋" w:hAnsi="仿宋" w:eastAsia="仿宋" w:cs="宋体"/>
          <w:sz w:val="32"/>
          <w:szCs w:val="32"/>
        </w:rPr>
        <w:t>O</w:t>
      </w:r>
      <w:r>
        <w:rPr>
          <w:rFonts w:hint="eastAsia" w:ascii="仿宋" w:hAnsi="仿宋" w:eastAsia="仿宋" w:cs="宋体"/>
          <w:sz w:val="32"/>
          <w:szCs w:val="32"/>
          <w:vertAlign w:val="subscript"/>
        </w:rPr>
        <w:t xml:space="preserve">3 </w:t>
      </w:r>
      <w:r>
        <w:rPr>
          <w:rFonts w:hint="eastAsia" w:ascii="仿宋" w:hAnsi="仿宋" w:eastAsia="仿宋" w:cs="宋体"/>
          <w:sz w:val="32"/>
          <w:szCs w:val="32"/>
        </w:rPr>
        <w:t>0.19%；累计查明冶金熔剂用石英砂岩矿资源量586.2万吨，动用资源量351.0万吨，保有资源量235.2万吨。其中探明资源量67.0万吨，控制资源量66.6万吨，推断资源量101.6万吨，矿床平均品位SiO</w:t>
      </w:r>
      <w:r>
        <w:rPr>
          <w:rFonts w:hint="eastAsia" w:ascii="仿宋" w:hAnsi="仿宋" w:eastAsia="仿宋" w:cs="宋体"/>
          <w:sz w:val="32"/>
          <w:szCs w:val="32"/>
          <w:vertAlign w:val="subscript"/>
        </w:rPr>
        <w:t xml:space="preserve">2 </w:t>
      </w:r>
      <w:r>
        <w:rPr>
          <w:rFonts w:hint="eastAsia" w:ascii="仿宋" w:hAnsi="仿宋" w:eastAsia="仿宋" w:cs="宋体"/>
          <w:sz w:val="32"/>
          <w:szCs w:val="32"/>
        </w:rPr>
        <w:t>96.43%、Al</w:t>
      </w:r>
      <w:r>
        <w:rPr>
          <w:rFonts w:hint="eastAsia" w:ascii="仿宋" w:hAnsi="仿宋" w:eastAsia="仿宋" w:cs="宋体"/>
          <w:sz w:val="32"/>
          <w:szCs w:val="32"/>
          <w:vertAlign w:val="subscript"/>
        </w:rPr>
        <w:t>2</w:t>
      </w:r>
      <w:r>
        <w:rPr>
          <w:rFonts w:hint="eastAsia" w:ascii="仿宋" w:hAnsi="仿宋" w:eastAsia="仿宋" w:cs="宋体"/>
          <w:sz w:val="32"/>
          <w:szCs w:val="32"/>
        </w:rPr>
        <w:t>O</w:t>
      </w:r>
      <w:r>
        <w:rPr>
          <w:rFonts w:hint="eastAsia" w:ascii="仿宋" w:hAnsi="仿宋" w:eastAsia="仿宋" w:cs="宋体"/>
          <w:sz w:val="32"/>
          <w:szCs w:val="32"/>
          <w:vertAlign w:val="subscript"/>
        </w:rPr>
        <w:t xml:space="preserve">3 </w:t>
      </w:r>
      <w:r>
        <w:rPr>
          <w:rFonts w:hint="eastAsia" w:ascii="仿宋" w:hAnsi="仿宋" w:eastAsia="仿宋" w:cs="宋体"/>
          <w:sz w:val="32"/>
          <w:szCs w:val="32"/>
        </w:rPr>
        <w:t>1.52%、Fe</w:t>
      </w:r>
      <w:r>
        <w:rPr>
          <w:rFonts w:hint="eastAsia" w:ascii="仿宋" w:hAnsi="仿宋" w:eastAsia="仿宋" w:cs="宋体"/>
          <w:sz w:val="32"/>
          <w:szCs w:val="32"/>
          <w:vertAlign w:val="subscript"/>
        </w:rPr>
        <w:t>2</w:t>
      </w:r>
      <w:r>
        <w:rPr>
          <w:rFonts w:hint="eastAsia" w:ascii="仿宋" w:hAnsi="仿宋" w:eastAsia="仿宋" w:cs="宋体"/>
          <w:sz w:val="32"/>
          <w:szCs w:val="32"/>
        </w:rPr>
        <w:t>O</w:t>
      </w:r>
      <w:r>
        <w:rPr>
          <w:rFonts w:hint="eastAsia" w:ascii="仿宋" w:hAnsi="仿宋" w:eastAsia="仿宋" w:cs="宋体"/>
          <w:sz w:val="32"/>
          <w:szCs w:val="32"/>
          <w:vertAlign w:val="subscript"/>
        </w:rPr>
        <w:t xml:space="preserve">3 </w:t>
      </w:r>
      <w:r>
        <w:rPr>
          <w:rFonts w:hint="eastAsia" w:ascii="仿宋" w:hAnsi="仿宋" w:eastAsia="仿宋" w:cs="宋体"/>
          <w:sz w:val="32"/>
          <w:szCs w:val="32"/>
        </w:rPr>
        <w:t>0.19%、CaO</w:t>
      </w:r>
      <w:r>
        <w:rPr>
          <w:rFonts w:hint="eastAsia" w:ascii="仿宋" w:hAnsi="仿宋" w:eastAsia="仿宋" w:cs="宋体"/>
          <w:sz w:val="32"/>
          <w:szCs w:val="32"/>
          <w:vertAlign w:val="subscript"/>
        </w:rPr>
        <w:t xml:space="preserve"> </w:t>
      </w:r>
      <w:r>
        <w:rPr>
          <w:rFonts w:hint="eastAsia" w:ascii="仿宋" w:hAnsi="仿宋" w:eastAsia="仿宋" w:cs="宋体"/>
          <w:sz w:val="32"/>
          <w:szCs w:val="32"/>
        </w:rPr>
        <w:t>0.26%。</w:t>
      </w:r>
    </w:p>
    <w:p>
      <w:pPr>
        <w:spacing w:line="4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《开采方案》设计利用的资源量476.9万吨，其中</w:t>
      </w:r>
      <w:r>
        <w:rPr>
          <w:rFonts w:hint="eastAsia" w:ascii="仿宋" w:hAnsi="仿宋" w:eastAsia="仿宋" w:cs="宋体"/>
          <w:sz w:val="32"/>
          <w:szCs w:val="32"/>
        </w:rPr>
        <w:t>平板玻璃用石英砂岩矿304.0万吨，平均品位SiO</w:t>
      </w:r>
      <w:r>
        <w:rPr>
          <w:rFonts w:hint="eastAsia" w:ascii="仿宋" w:hAnsi="仿宋" w:eastAsia="仿宋" w:cs="宋体"/>
          <w:sz w:val="32"/>
          <w:szCs w:val="32"/>
          <w:vertAlign w:val="subscript"/>
        </w:rPr>
        <w:t xml:space="preserve">2 </w:t>
      </w:r>
      <w:r>
        <w:rPr>
          <w:rFonts w:hint="eastAsia" w:ascii="仿宋" w:hAnsi="仿宋" w:eastAsia="仿宋" w:cs="宋体"/>
          <w:sz w:val="32"/>
          <w:szCs w:val="32"/>
        </w:rPr>
        <w:t>96.91%、Al</w:t>
      </w:r>
      <w:r>
        <w:rPr>
          <w:rFonts w:hint="eastAsia" w:ascii="仿宋" w:hAnsi="仿宋" w:eastAsia="仿宋" w:cs="宋体"/>
          <w:sz w:val="32"/>
          <w:szCs w:val="32"/>
          <w:vertAlign w:val="subscript"/>
        </w:rPr>
        <w:t>2</w:t>
      </w:r>
      <w:r>
        <w:rPr>
          <w:rFonts w:hint="eastAsia" w:ascii="仿宋" w:hAnsi="仿宋" w:eastAsia="仿宋" w:cs="宋体"/>
          <w:sz w:val="32"/>
          <w:szCs w:val="32"/>
        </w:rPr>
        <w:t>O</w:t>
      </w:r>
      <w:r>
        <w:rPr>
          <w:rFonts w:hint="eastAsia" w:ascii="仿宋" w:hAnsi="仿宋" w:eastAsia="仿宋" w:cs="宋体"/>
          <w:sz w:val="32"/>
          <w:szCs w:val="32"/>
          <w:vertAlign w:val="subscript"/>
        </w:rPr>
        <w:t xml:space="preserve">3 </w:t>
      </w:r>
      <w:r>
        <w:rPr>
          <w:rFonts w:hint="eastAsia" w:ascii="仿宋" w:hAnsi="仿宋" w:eastAsia="仿宋" w:cs="宋体"/>
          <w:sz w:val="32"/>
          <w:szCs w:val="32"/>
        </w:rPr>
        <w:t>0.24%、Fe</w:t>
      </w:r>
      <w:r>
        <w:rPr>
          <w:rFonts w:hint="eastAsia" w:ascii="仿宋" w:hAnsi="仿宋" w:eastAsia="仿宋" w:cs="宋体"/>
          <w:sz w:val="32"/>
          <w:szCs w:val="32"/>
          <w:vertAlign w:val="subscript"/>
        </w:rPr>
        <w:t>2</w:t>
      </w:r>
      <w:r>
        <w:rPr>
          <w:rFonts w:hint="eastAsia" w:ascii="仿宋" w:hAnsi="仿宋" w:eastAsia="仿宋" w:cs="宋体"/>
          <w:sz w:val="32"/>
          <w:szCs w:val="32"/>
        </w:rPr>
        <w:t>O</w:t>
      </w:r>
      <w:r>
        <w:rPr>
          <w:rFonts w:hint="eastAsia" w:ascii="仿宋" w:hAnsi="仿宋" w:eastAsia="仿宋" w:cs="宋体"/>
          <w:sz w:val="32"/>
          <w:szCs w:val="32"/>
          <w:vertAlign w:val="subscript"/>
        </w:rPr>
        <w:t xml:space="preserve">3 </w:t>
      </w:r>
      <w:r>
        <w:rPr>
          <w:rFonts w:hint="eastAsia" w:ascii="仿宋" w:hAnsi="仿宋" w:eastAsia="仿宋" w:cs="宋体"/>
          <w:sz w:val="32"/>
          <w:szCs w:val="32"/>
        </w:rPr>
        <w:t>0.19%；冶金熔剂用石英砂岩矿</w:t>
      </w:r>
      <w:r>
        <w:rPr>
          <w:rFonts w:hint="eastAsia" w:ascii="仿宋" w:hAnsi="仿宋" w:eastAsia="仿宋"/>
          <w:sz w:val="32"/>
          <w:szCs w:val="32"/>
        </w:rPr>
        <w:t>172.9万吨，</w:t>
      </w:r>
      <w:r>
        <w:rPr>
          <w:rFonts w:hint="eastAsia" w:ascii="仿宋" w:hAnsi="仿宋" w:eastAsia="仿宋" w:cs="宋体"/>
          <w:sz w:val="32"/>
          <w:szCs w:val="32"/>
        </w:rPr>
        <w:t>平均品位SiO</w:t>
      </w:r>
      <w:r>
        <w:rPr>
          <w:rFonts w:hint="eastAsia" w:ascii="仿宋" w:hAnsi="仿宋" w:eastAsia="仿宋" w:cs="宋体"/>
          <w:sz w:val="32"/>
          <w:szCs w:val="32"/>
          <w:vertAlign w:val="subscript"/>
        </w:rPr>
        <w:t xml:space="preserve">2 </w:t>
      </w:r>
      <w:r>
        <w:rPr>
          <w:rFonts w:hint="eastAsia" w:ascii="仿宋" w:hAnsi="仿宋" w:eastAsia="仿宋" w:cs="宋体"/>
          <w:sz w:val="32"/>
          <w:szCs w:val="32"/>
        </w:rPr>
        <w:t>95.39%、Al</w:t>
      </w:r>
      <w:r>
        <w:rPr>
          <w:rFonts w:hint="eastAsia" w:ascii="仿宋" w:hAnsi="仿宋" w:eastAsia="仿宋" w:cs="宋体"/>
          <w:sz w:val="32"/>
          <w:szCs w:val="32"/>
          <w:vertAlign w:val="subscript"/>
        </w:rPr>
        <w:t>2</w:t>
      </w:r>
      <w:r>
        <w:rPr>
          <w:rFonts w:hint="eastAsia" w:ascii="仿宋" w:hAnsi="仿宋" w:eastAsia="仿宋" w:cs="宋体"/>
          <w:sz w:val="32"/>
          <w:szCs w:val="32"/>
        </w:rPr>
        <w:t>O</w:t>
      </w:r>
      <w:r>
        <w:rPr>
          <w:rFonts w:hint="eastAsia" w:ascii="仿宋" w:hAnsi="仿宋" w:eastAsia="仿宋" w:cs="宋体"/>
          <w:sz w:val="32"/>
          <w:szCs w:val="32"/>
          <w:vertAlign w:val="subscript"/>
        </w:rPr>
        <w:t xml:space="preserve">3 </w:t>
      </w:r>
      <w:r>
        <w:rPr>
          <w:rFonts w:hint="eastAsia" w:ascii="仿宋" w:hAnsi="仿宋" w:eastAsia="仿宋" w:cs="宋体"/>
          <w:sz w:val="32"/>
          <w:szCs w:val="32"/>
        </w:rPr>
        <w:t>1.53%、Fe</w:t>
      </w:r>
      <w:r>
        <w:rPr>
          <w:rFonts w:hint="eastAsia" w:ascii="仿宋" w:hAnsi="仿宋" w:eastAsia="仿宋" w:cs="宋体"/>
          <w:sz w:val="32"/>
          <w:szCs w:val="32"/>
          <w:vertAlign w:val="subscript"/>
        </w:rPr>
        <w:t>2</w:t>
      </w:r>
      <w:r>
        <w:rPr>
          <w:rFonts w:hint="eastAsia" w:ascii="仿宋" w:hAnsi="仿宋" w:eastAsia="仿宋" w:cs="宋体"/>
          <w:sz w:val="32"/>
          <w:szCs w:val="32"/>
        </w:rPr>
        <w:t>O</w:t>
      </w:r>
      <w:r>
        <w:rPr>
          <w:rFonts w:hint="eastAsia" w:ascii="仿宋" w:hAnsi="仿宋" w:eastAsia="仿宋" w:cs="宋体"/>
          <w:sz w:val="32"/>
          <w:szCs w:val="32"/>
          <w:vertAlign w:val="subscript"/>
        </w:rPr>
        <w:t xml:space="preserve">3 </w:t>
      </w:r>
      <w:r>
        <w:rPr>
          <w:rFonts w:hint="eastAsia" w:ascii="仿宋" w:hAnsi="仿宋" w:eastAsia="仿宋" w:cs="宋体"/>
          <w:sz w:val="32"/>
          <w:szCs w:val="32"/>
        </w:rPr>
        <w:t>0.17%、CaO</w:t>
      </w:r>
      <w:r>
        <w:rPr>
          <w:rFonts w:hint="eastAsia" w:ascii="仿宋" w:hAnsi="仿宋" w:eastAsia="仿宋" w:cs="宋体"/>
          <w:sz w:val="32"/>
          <w:szCs w:val="32"/>
          <w:vertAlign w:val="subscript"/>
        </w:rPr>
        <w:t xml:space="preserve"> </w:t>
      </w:r>
      <w:r>
        <w:rPr>
          <w:rFonts w:hint="eastAsia" w:ascii="仿宋" w:hAnsi="仿宋" w:eastAsia="仿宋" w:cs="宋体"/>
          <w:sz w:val="32"/>
          <w:szCs w:val="32"/>
        </w:rPr>
        <w:t>0.28%</w:t>
      </w:r>
      <w:r>
        <w:rPr>
          <w:rFonts w:hint="eastAsia" w:ascii="仿宋" w:hAnsi="仿宋" w:eastAsia="仿宋"/>
          <w:sz w:val="32"/>
          <w:szCs w:val="32"/>
        </w:rPr>
        <w:t>。</w:t>
      </w:r>
    </w:p>
    <w:p>
      <w:pPr>
        <w:spacing w:line="4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《开采方案》估算可采储量453.0万吨，</w:t>
      </w:r>
      <w:bookmarkStart w:id="2" w:name="_Hlk206944693"/>
      <w:r>
        <w:rPr>
          <w:rFonts w:hint="eastAsia" w:ascii="仿宋" w:hAnsi="仿宋" w:eastAsia="仿宋"/>
          <w:sz w:val="32"/>
          <w:szCs w:val="32"/>
        </w:rPr>
        <w:t>其中</w:t>
      </w:r>
      <w:r>
        <w:rPr>
          <w:rFonts w:hint="eastAsia" w:ascii="仿宋" w:hAnsi="仿宋" w:eastAsia="仿宋" w:cs="宋体"/>
          <w:sz w:val="32"/>
          <w:szCs w:val="32"/>
        </w:rPr>
        <w:t>平板玻璃用石英砂岩矿288.8万吨，冶金熔剂用石英砂岩矿164.2万吨。</w:t>
      </w:r>
    </w:p>
    <w:p>
      <w:pPr>
        <w:spacing w:line="4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三、开采区域</w:t>
      </w:r>
    </w:p>
    <w:bookmarkEnd w:id="2"/>
    <w:p>
      <w:pPr>
        <w:spacing w:line="500" w:lineRule="exact"/>
        <w:ind w:firstLine="642" w:firstLineChars="200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1、采矿权</w:t>
      </w:r>
    </w:p>
    <w:p>
      <w:pPr>
        <w:spacing w:line="5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（1）</w:t>
      </w:r>
      <w:r>
        <w:rPr>
          <w:rFonts w:hint="eastAsia" w:ascii="仿宋" w:hAnsi="仿宋" w:eastAsia="仿宋" w:cs="宋体"/>
          <w:sz w:val="32"/>
          <w:szCs w:val="32"/>
        </w:rPr>
        <w:t>鄂托克旗广源矿业有限公司硅石矿</w:t>
      </w:r>
    </w:p>
    <w:p>
      <w:pPr>
        <w:spacing w:line="5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鄂托克旗广源矿业有限公司硅石矿采矿许可证证号：</w:t>
      </w:r>
      <w:r>
        <w:rPr>
          <w:rFonts w:hint="eastAsia" w:ascii="仿宋" w:hAnsi="仿宋" w:eastAsia="仿宋" w:cs="宋体"/>
          <w:sz w:val="32"/>
          <w:szCs w:val="32"/>
        </w:rPr>
        <w:t>C1506002010067120067541</w:t>
      </w:r>
      <w:r>
        <w:rPr>
          <w:rFonts w:hint="eastAsia" w:ascii="仿宋" w:hAnsi="仿宋" w:eastAsia="仿宋"/>
          <w:sz w:val="32"/>
          <w:szCs w:val="32"/>
        </w:rPr>
        <w:t>；开采方式：露天开采；生产规模：15万吨/年；矿区面积：0.2014km</w:t>
      </w:r>
      <w:r>
        <w:rPr>
          <w:rFonts w:ascii="Calibri" w:hAnsi="Calibri" w:eastAsia="仿宋" w:cs="Calibri"/>
          <w:sz w:val="32"/>
          <w:szCs w:val="32"/>
        </w:rPr>
        <w:t>²</w:t>
      </w:r>
      <w:r>
        <w:rPr>
          <w:rFonts w:hint="eastAsia" w:ascii="仿宋" w:hAnsi="仿宋" w:eastAsia="仿宋"/>
          <w:sz w:val="32"/>
          <w:szCs w:val="32"/>
        </w:rPr>
        <w:t>，共由6个拐点圈定，开采深度1794m至1650m标高。</w:t>
      </w:r>
    </w:p>
    <w:p>
      <w:pPr>
        <w:spacing w:line="5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（2）</w:t>
      </w:r>
      <w:r>
        <w:rPr>
          <w:rFonts w:hint="eastAsia" w:ascii="仿宋" w:hAnsi="仿宋" w:eastAsia="仿宋" w:cs="宋体"/>
          <w:sz w:val="32"/>
          <w:szCs w:val="32"/>
        </w:rPr>
        <w:t>鄂托克旗广源矿业有限公司西金硅石矿</w:t>
      </w:r>
    </w:p>
    <w:p>
      <w:pPr>
        <w:spacing w:line="5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鄂托克旗广源矿业有限公司</w:t>
      </w:r>
      <w:r>
        <w:rPr>
          <w:rFonts w:hint="eastAsia" w:ascii="仿宋" w:hAnsi="仿宋" w:eastAsia="仿宋" w:cs="宋体"/>
          <w:sz w:val="32"/>
          <w:szCs w:val="32"/>
        </w:rPr>
        <w:t>西金</w:t>
      </w:r>
      <w:r>
        <w:rPr>
          <w:rFonts w:hint="eastAsia" w:ascii="仿宋" w:hAnsi="仿宋" w:eastAsia="仿宋"/>
          <w:sz w:val="32"/>
          <w:szCs w:val="32"/>
        </w:rPr>
        <w:t>硅石矿采矿许可证证号：</w:t>
      </w:r>
      <w:r>
        <w:rPr>
          <w:rFonts w:hint="eastAsia" w:ascii="仿宋" w:hAnsi="仿宋" w:eastAsia="仿宋" w:cs="宋体"/>
          <w:sz w:val="32"/>
          <w:szCs w:val="32"/>
        </w:rPr>
        <w:t>C1506002010106120077763</w:t>
      </w:r>
      <w:r>
        <w:rPr>
          <w:rFonts w:hint="eastAsia" w:ascii="仿宋" w:hAnsi="仿宋" w:eastAsia="仿宋"/>
          <w:sz w:val="32"/>
          <w:szCs w:val="32"/>
        </w:rPr>
        <w:t>；开采方式：露天开采；生产规模：5万吨/年；矿区面积：0.1020km</w:t>
      </w:r>
      <w:r>
        <w:rPr>
          <w:rFonts w:ascii="Calibri" w:hAnsi="Calibri" w:eastAsia="仿宋" w:cs="Calibri"/>
          <w:sz w:val="32"/>
          <w:szCs w:val="32"/>
        </w:rPr>
        <w:t>²</w:t>
      </w:r>
      <w:r>
        <w:rPr>
          <w:rFonts w:hint="eastAsia" w:ascii="仿宋" w:hAnsi="仿宋" w:eastAsia="仿宋"/>
          <w:sz w:val="32"/>
          <w:szCs w:val="32"/>
        </w:rPr>
        <w:t>，共由7个拐点圈定，开采深度1840m至1630m标高。</w:t>
      </w:r>
    </w:p>
    <w:p>
      <w:pPr>
        <w:spacing w:line="5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（3）</w:t>
      </w:r>
      <w:r>
        <w:rPr>
          <w:rFonts w:hint="eastAsia" w:ascii="仿宋" w:hAnsi="仿宋" w:eastAsia="仿宋" w:cs="宋体"/>
          <w:sz w:val="32"/>
          <w:szCs w:val="32"/>
        </w:rPr>
        <w:t>鄂托克旗广源矿业有限公司六道沟硅石矿</w:t>
      </w:r>
    </w:p>
    <w:p>
      <w:pPr>
        <w:spacing w:line="5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鄂托克旗广源矿业有限公司六道沟硅石矿采矿许可证证号：</w:t>
      </w:r>
      <w:r>
        <w:rPr>
          <w:rFonts w:hint="eastAsia" w:ascii="仿宋" w:hAnsi="仿宋" w:eastAsia="仿宋" w:cs="宋体"/>
          <w:sz w:val="32"/>
          <w:szCs w:val="32"/>
        </w:rPr>
        <w:t>C1506002011017120102658</w:t>
      </w:r>
      <w:r>
        <w:rPr>
          <w:rFonts w:hint="eastAsia" w:ascii="仿宋" w:hAnsi="仿宋" w:eastAsia="仿宋"/>
          <w:sz w:val="32"/>
          <w:szCs w:val="32"/>
        </w:rPr>
        <w:t>；开采方式：露天开采；生产规模：1万吨/年；矿区面积：0.0898km</w:t>
      </w:r>
      <w:r>
        <w:rPr>
          <w:rFonts w:ascii="Calibri" w:hAnsi="Calibri" w:eastAsia="仿宋" w:cs="Calibri"/>
          <w:sz w:val="32"/>
          <w:szCs w:val="32"/>
        </w:rPr>
        <w:t>²</w:t>
      </w:r>
      <w:r>
        <w:rPr>
          <w:rFonts w:hint="eastAsia" w:ascii="仿宋" w:hAnsi="仿宋" w:eastAsia="仿宋"/>
          <w:sz w:val="32"/>
          <w:szCs w:val="32"/>
        </w:rPr>
        <w:t>，共由13个拐点圈定，分为两个采区，开采深度均为1650m至1571m标高。</w:t>
      </w:r>
    </w:p>
    <w:p>
      <w:pPr>
        <w:spacing w:line="5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（4）</w:t>
      </w:r>
      <w:r>
        <w:rPr>
          <w:rFonts w:hint="eastAsia" w:ascii="仿宋" w:hAnsi="仿宋" w:eastAsia="仿宋" w:cs="宋体"/>
          <w:sz w:val="32"/>
          <w:szCs w:val="32"/>
        </w:rPr>
        <w:t>鄂托克旗广源矿业有限公司蒙星硅石矿</w:t>
      </w:r>
    </w:p>
    <w:p>
      <w:pPr>
        <w:spacing w:line="5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鄂托克旗广源矿业有限公司蒙星硅石矿采矿许可证证号：</w:t>
      </w:r>
      <w:r>
        <w:rPr>
          <w:rFonts w:hint="eastAsia" w:ascii="仿宋" w:hAnsi="仿宋" w:eastAsia="仿宋" w:cs="宋体"/>
          <w:sz w:val="32"/>
          <w:szCs w:val="32"/>
        </w:rPr>
        <w:t>C1506002011057120112824</w:t>
      </w:r>
      <w:r>
        <w:rPr>
          <w:rFonts w:hint="eastAsia" w:ascii="仿宋" w:hAnsi="仿宋" w:eastAsia="仿宋"/>
          <w:sz w:val="32"/>
          <w:szCs w:val="32"/>
        </w:rPr>
        <w:t>；开采方式：露天开采；生产规模：15万吨/年；矿区面积：0.0002km</w:t>
      </w:r>
      <w:r>
        <w:rPr>
          <w:rFonts w:ascii="Calibri" w:hAnsi="Calibri" w:eastAsia="仿宋" w:cs="Calibri"/>
          <w:sz w:val="32"/>
          <w:szCs w:val="32"/>
        </w:rPr>
        <w:t>²</w:t>
      </w:r>
      <w:r>
        <w:rPr>
          <w:rFonts w:hint="eastAsia" w:ascii="仿宋" w:hAnsi="仿宋" w:eastAsia="仿宋"/>
          <w:sz w:val="32"/>
          <w:szCs w:val="32"/>
        </w:rPr>
        <w:t>，共由3个拐点圈定，开采深度1650m至1640m标高。</w:t>
      </w:r>
    </w:p>
    <w:p>
      <w:pPr>
        <w:spacing w:line="500" w:lineRule="exact"/>
        <w:ind w:firstLine="642" w:firstLineChars="200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2、申请开采区域</w:t>
      </w:r>
    </w:p>
    <w:p>
      <w:pPr>
        <w:spacing w:line="5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《开采方案》申请开采区域范围与已设采矿许可证平面范围一致，共由29个拐点圈定，面积0.3934km</w:t>
      </w:r>
      <w:r>
        <w:rPr>
          <w:rFonts w:ascii="Calibri" w:hAnsi="Calibri" w:eastAsia="仿宋" w:cs="Calibri"/>
          <w:sz w:val="32"/>
          <w:szCs w:val="32"/>
        </w:rPr>
        <w:t>²</w:t>
      </w:r>
      <w:r>
        <w:rPr>
          <w:rFonts w:hint="eastAsia" w:ascii="仿宋" w:hAnsi="仿宋" w:eastAsia="仿宋"/>
          <w:sz w:val="32"/>
          <w:szCs w:val="32"/>
        </w:rPr>
        <w:t>，分为一、二、三、四、五共五个采区，其中一至四采区开采深度范围与赋矿标高一致，露天剥离工程标高均至地表；五采区范围内无资源，不开采。</w:t>
      </w:r>
    </w:p>
    <w:p>
      <w:pPr>
        <w:spacing w:line="5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四、矿产资源开采</w:t>
      </w:r>
    </w:p>
    <w:p>
      <w:pPr>
        <w:spacing w:line="5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《开采方案》根据经评审备案的矿产资源储量报告，确定开采矿种为</w:t>
      </w:r>
      <w:r>
        <w:rPr>
          <w:rFonts w:hint="eastAsia" w:ascii="仿宋" w:hAnsi="仿宋" w:eastAsia="仿宋" w:cs="宋体"/>
          <w:sz w:val="32"/>
          <w:szCs w:val="32"/>
        </w:rPr>
        <w:t>平板玻璃用石英砂岩矿（一采区）和冶金熔剂用石英砂岩矿（其他采区）</w:t>
      </w:r>
      <w:r>
        <w:rPr>
          <w:rFonts w:hint="eastAsia" w:ascii="仿宋" w:hAnsi="仿宋" w:eastAsia="仿宋"/>
          <w:sz w:val="32"/>
          <w:szCs w:val="32"/>
        </w:rPr>
        <w:t>，推荐开采方式为露天开采，</w:t>
      </w:r>
      <w:r>
        <w:rPr>
          <w:rFonts w:hint="eastAsia" w:ascii="仿宋" w:hAnsi="仿宋" w:eastAsia="仿宋" w:cs="宋体"/>
          <w:sz w:val="32"/>
          <w:szCs w:val="32"/>
        </w:rPr>
        <w:t>平板玻璃用石英砂岩矿（一采区）</w:t>
      </w:r>
      <w:r>
        <w:rPr>
          <w:rFonts w:hint="eastAsia" w:ascii="仿宋" w:hAnsi="仿宋" w:eastAsia="仿宋"/>
          <w:sz w:val="32"/>
          <w:szCs w:val="32"/>
        </w:rPr>
        <w:t>拟建生产规模为50万吨/年，</w:t>
      </w:r>
      <w:r>
        <w:rPr>
          <w:rFonts w:hint="eastAsia" w:ascii="仿宋" w:hAnsi="仿宋" w:eastAsia="仿宋" w:cs="宋体"/>
          <w:sz w:val="32"/>
          <w:szCs w:val="32"/>
        </w:rPr>
        <w:t>冶金熔剂用石英砂岩矿（其他</w:t>
      </w:r>
      <w:r>
        <w:rPr>
          <w:rFonts w:hint="eastAsia" w:ascii="仿宋" w:hAnsi="仿宋" w:eastAsia="仿宋"/>
          <w:sz w:val="32"/>
          <w:szCs w:val="32"/>
        </w:rPr>
        <w:t>采区）拟建生产规模为15万吨/年，估算矿山服务年限17年，其中一采区6年，其他采区11年。矿产资源开采方案合理。</w:t>
      </w:r>
    </w:p>
    <w:p>
      <w:pPr>
        <w:spacing w:line="5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五、矿产资源综合利用</w:t>
      </w:r>
    </w:p>
    <w:p>
      <w:pPr>
        <w:tabs>
          <w:tab w:val="left" w:pos="312"/>
        </w:tabs>
        <w:spacing w:line="5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bookmarkStart w:id="3" w:name="OLE_LINK6"/>
      <w:r>
        <w:rPr>
          <w:rFonts w:hint="eastAsia" w:ascii="仿宋" w:hAnsi="仿宋" w:eastAsia="仿宋"/>
          <w:sz w:val="32"/>
          <w:szCs w:val="32"/>
        </w:rPr>
        <w:t>《开采方案》</w:t>
      </w:r>
      <w:bookmarkEnd w:id="3"/>
      <w:r>
        <w:rPr>
          <w:rFonts w:hint="eastAsia" w:ascii="仿宋" w:hAnsi="仿宋" w:eastAsia="仿宋"/>
          <w:sz w:val="32"/>
          <w:szCs w:val="32"/>
        </w:rPr>
        <w:t>推荐产品方案为石英砂精矿（一采区）和冶金熔剂用石英砂岩（其他采区）；根据选矿试验研究结果和矿山实际矿石加工流程，提出初步选矿方案分别为水洗-强磁选工艺（一采区）和破碎-分级工艺流程；该矿无可利用的共伴生矿种。</w:t>
      </w:r>
    </w:p>
    <w:p>
      <w:pPr>
        <w:spacing w:line="5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六、矿产资源“三率”指标</w:t>
      </w:r>
    </w:p>
    <w:p>
      <w:pPr>
        <w:tabs>
          <w:tab w:val="left" w:pos="312"/>
        </w:tabs>
        <w:spacing w:line="5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矿业权人应采取有效措施确保“三率”指标达到国家有关标准要求。</w:t>
      </w:r>
    </w:p>
    <w:p>
      <w:pPr>
        <w:tabs>
          <w:tab w:val="left" w:pos="312"/>
        </w:tabs>
        <w:spacing w:line="5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《开采方案》推荐露天开采回采率95%，石英砂岩矿（一采区）选矿回收率80%，达到《矿产资源“三率”指标要求 第7部分：石英岩、石英砂岩、脉石英、天然石英砂、粉石英》（DZ/T 0462.7-2023）中石英砂岩的一般指标要求。全矿不涉及综合利用率，除一采区外，其他采区不涉及选矿回收率。</w:t>
      </w:r>
    </w:p>
    <w:p>
      <w:pPr>
        <w:spacing w:line="5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七、说明与建议</w:t>
      </w:r>
    </w:p>
    <w:p>
      <w:pPr>
        <w:tabs>
          <w:tab w:val="left" w:pos="312"/>
        </w:tabs>
        <w:spacing w:line="5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1、矿山建设、生产中须严格执行安全、生态保护等规定。矿山安全、环境影响评价、矿区生态修复、水土保持等按照各相应主管部门审批的方案执行。</w:t>
      </w:r>
    </w:p>
    <w:p>
      <w:pPr>
        <w:spacing w:line="5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2、该矿现整合后各采区间留有空白区，不利于矿产资源的</w:t>
      </w:r>
      <w:r>
        <w:rPr>
          <w:rFonts w:hint="eastAsia" w:ascii="仿宋" w:hAnsi="仿宋" w:eastAsia="仿宋" w:cs="宋体"/>
          <w:snapToGrid w:val="0"/>
          <w:color w:val="000000"/>
          <w:spacing w:val="4"/>
          <w:kern w:val="0"/>
          <w:sz w:val="32"/>
          <w:szCs w:val="32"/>
        </w:rPr>
        <w:t>节约集约安全开发利用，</w:t>
      </w:r>
      <w:r>
        <w:rPr>
          <w:rFonts w:hint="eastAsia" w:ascii="仿宋" w:hAnsi="仿宋" w:eastAsia="仿宋"/>
          <w:sz w:val="32"/>
          <w:szCs w:val="32"/>
        </w:rPr>
        <w:t>建议对各采区进行进一步的整合。</w:t>
      </w:r>
    </w:p>
    <w:p>
      <w:pPr>
        <w:spacing w:line="5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八、评审结论</w:t>
      </w:r>
    </w:p>
    <w:p>
      <w:pPr>
        <w:spacing w:line="5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《开采方案》符合《内蒙古自治区自然资源厅关于做好&lt;矿产资源法&gt;实施衔接过渡期矿产资源勘查方案、开采方案评审工作的公告》（公告〔2025〕27号）和《内蒙古自治区自然资源厅关于发布矿产资源勘查方案、开采方案评审临时服务指南的公告》(公告〔2025〕30号)等文件要求，同意通过评审。</w:t>
      </w:r>
    </w:p>
    <w:p>
      <w:pPr>
        <w:spacing w:line="500" w:lineRule="exact"/>
        <w:rPr>
          <w:rFonts w:hint="eastAsia" w:ascii="宋体" w:hAnsi="宋体"/>
          <w:sz w:val="28"/>
          <w:szCs w:val="28"/>
        </w:rPr>
      </w:pPr>
    </w:p>
    <w:p>
      <w:pPr>
        <w:tabs>
          <w:tab w:val="left" w:pos="312"/>
        </w:tabs>
        <w:adjustRightInd w:val="0"/>
        <w:spacing w:line="500" w:lineRule="exact"/>
        <w:ind w:firstLine="640" w:firstLineChars="200"/>
        <w:rPr>
          <w:rFonts w:ascii="Times New Roman" w:hAnsi="Times New Roman" w:eastAsia="宋体" w:cs="Times New Roman"/>
          <w:sz w:val="32"/>
          <w:szCs w:val="32"/>
        </w:rPr>
      </w:pPr>
    </w:p>
    <w:p>
      <w:pPr>
        <w:tabs>
          <w:tab w:val="left" w:pos="312"/>
        </w:tabs>
        <w:adjustRightInd w:val="0"/>
        <w:spacing w:line="500" w:lineRule="exact"/>
        <w:ind w:firstLine="640" w:firstLineChars="200"/>
        <w:rPr>
          <w:rFonts w:ascii="Times New Roman" w:hAnsi="Times New Roman" w:eastAsia="宋体" w:cs="Times New Roman"/>
          <w:sz w:val="32"/>
          <w:szCs w:val="32"/>
        </w:rPr>
      </w:pPr>
    </w:p>
    <w:p>
      <w:pPr>
        <w:spacing w:line="500" w:lineRule="exact"/>
        <w:ind w:firstLine="3840" w:firstLineChars="1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鄂尔多斯市地质调查监测院</w:t>
      </w:r>
    </w:p>
    <w:p>
      <w:pPr>
        <w:spacing w:line="5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      2026年1月16日</w:t>
      </w:r>
    </w:p>
    <w:p>
      <w:pPr>
        <w:spacing w:line="500" w:lineRule="exact"/>
        <w:ind w:firstLine="640" w:firstLineChars="200"/>
        <w:rPr>
          <w:rFonts w:ascii="Times New Roman" w:hAnsi="Times New Roman" w:eastAsia="宋体" w:cs="Times New Roman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附件：《鄂托克旗广源矿业有限公司硅石矿开采方案》评审专家组人员名单</w:t>
      </w:r>
    </w:p>
    <w:p>
      <w:pPr>
        <w:spacing w:line="500" w:lineRule="exact"/>
      </w:pP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eastAsia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0"/>
          <w:w w:val="100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pacing w:val="0"/>
          <w:w w:val="100"/>
          <w:sz w:val="32"/>
          <w:szCs w:val="32"/>
          <w:highlight w:val="none"/>
          <w:lang w:val="en-US" w:eastAsia="zh-CN"/>
        </w:rPr>
        <w:t>2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  <w:lang w:val="en-US" w:eastAsia="zh-CN"/>
        </w:rPr>
        <w:t>《鄂托克旗广源矿业有限公司硅石矿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  <w:lang w:val="en-US" w:eastAsia="zh-CN"/>
        </w:rPr>
        <w:t>开采方案》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  <w:lang w:val="en-US" w:eastAsia="zh-CN"/>
        </w:rPr>
        <w:t>评审专家组人员名单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-645160</wp:posOffset>
            </wp:positionH>
            <wp:positionV relativeFrom="paragraph">
              <wp:posOffset>342900</wp:posOffset>
            </wp:positionV>
            <wp:extent cx="6554470" cy="4876165"/>
            <wp:effectExtent l="0" t="0" r="17780" b="635"/>
            <wp:wrapThrough wrapText="bothSides">
              <wp:wrapPolygon>
                <wp:start x="0" y="0"/>
                <wp:lineTo x="0" y="21518"/>
                <wp:lineTo x="21533" y="21518"/>
                <wp:lineTo x="21533" y="0"/>
                <wp:lineTo x="0" y="0"/>
              </wp:wrapPolygon>
            </wp:wrapThrough>
            <wp:docPr id="8" name="图片 8" descr="广源附件2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广源附件2"/>
                    <pic:cNvPicPr>
                      <a:picLocks noChangeAspect="true"/>
                    </pic:cNvPicPr>
                  </pic:nvPicPr>
                  <pic:blipFill>
                    <a:blip r:embed="rId10"/>
                    <a:srcRect t="16085" r="2036" b="4276"/>
                    <a:stretch>
                      <a:fillRect/>
                    </a:stretch>
                  </pic:blipFill>
                  <pic:spPr>
                    <a:xfrm>
                      <a:off x="0" y="0"/>
                      <a:ext cx="6554470" cy="4876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500" w:lineRule="exact"/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01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Microsoft YaHei UI">
    <w:altName w:val="Droid Sans Fallbac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新宋体">
    <w:altName w:val="方正书宋_GBK"/>
    <w:panose1 w:val="02010609030101010101"/>
    <w:charset w:val="86"/>
    <w:family w:val="modern"/>
    <w:pitch w:val="default"/>
    <w:sig w:usb0="00000000" w:usb1="00000000" w:usb2="0000000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03369749"/>
      <w:docPartObj>
        <w:docPartGallery w:val="autotext"/>
      </w:docPartObj>
    </w:sdtPr>
    <w:sdtContent>
      <w:p>
        <w:pPr>
          <w:pStyle w:val="8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EF4C4E"/>
    <w:rsid w:val="0001600D"/>
    <w:rsid w:val="00030267"/>
    <w:rsid w:val="00082759"/>
    <w:rsid w:val="000B36CD"/>
    <w:rsid w:val="0013019D"/>
    <w:rsid w:val="001302DC"/>
    <w:rsid w:val="001379AF"/>
    <w:rsid w:val="00163B3A"/>
    <w:rsid w:val="0016794F"/>
    <w:rsid w:val="00192B20"/>
    <w:rsid w:val="00242F0D"/>
    <w:rsid w:val="00253738"/>
    <w:rsid w:val="002D25F3"/>
    <w:rsid w:val="002E5122"/>
    <w:rsid w:val="003518AF"/>
    <w:rsid w:val="0035404E"/>
    <w:rsid w:val="003C7FFE"/>
    <w:rsid w:val="0040643C"/>
    <w:rsid w:val="004C0666"/>
    <w:rsid w:val="00531957"/>
    <w:rsid w:val="00563D6B"/>
    <w:rsid w:val="005A00A9"/>
    <w:rsid w:val="005D46FD"/>
    <w:rsid w:val="00614FA7"/>
    <w:rsid w:val="00673FDF"/>
    <w:rsid w:val="00747B4F"/>
    <w:rsid w:val="00751323"/>
    <w:rsid w:val="007C5EFD"/>
    <w:rsid w:val="007F1B89"/>
    <w:rsid w:val="00812593"/>
    <w:rsid w:val="00824E9A"/>
    <w:rsid w:val="00832AD7"/>
    <w:rsid w:val="00886B24"/>
    <w:rsid w:val="008F0EF3"/>
    <w:rsid w:val="009223D6"/>
    <w:rsid w:val="00947589"/>
    <w:rsid w:val="009769F3"/>
    <w:rsid w:val="00990F63"/>
    <w:rsid w:val="009D7FDD"/>
    <w:rsid w:val="009E183E"/>
    <w:rsid w:val="00A10DFE"/>
    <w:rsid w:val="00A60B5D"/>
    <w:rsid w:val="00A80B45"/>
    <w:rsid w:val="00B2758D"/>
    <w:rsid w:val="00B33CEA"/>
    <w:rsid w:val="00B37844"/>
    <w:rsid w:val="00BA245C"/>
    <w:rsid w:val="00C106AD"/>
    <w:rsid w:val="00C7362F"/>
    <w:rsid w:val="00CD4C98"/>
    <w:rsid w:val="00D37833"/>
    <w:rsid w:val="00D62298"/>
    <w:rsid w:val="00D84402"/>
    <w:rsid w:val="00E05E5B"/>
    <w:rsid w:val="00E7301F"/>
    <w:rsid w:val="00E805CF"/>
    <w:rsid w:val="00F26B94"/>
    <w:rsid w:val="00F3639F"/>
    <w:rsid w:val="00F42B2B"/>
    <w:rsid w:val="00F820FB"/>
    <w:rsid w:val="00F871CF"/>
    <w:rsid w:val="00FE3057"/>
    <w:rsid w:val="0247556A"/>
    <w:rsid w:val="10ED34D7"/>
    <w:rsid w:val="1E7B579C"/>
    <w:rsid w:val="279E1F73"/>
    <w:rsid w:val="2E157DAA"/>
    <w:rsid w:val="32EF4C4E"/>
    <w:rsid w:val="48E35935"/>
    <w:rsid w:val="95E46591"/>
    <w:rsid w:val="EEA98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99" w:name="annotation reference"/>
    <w:lsdException w:uiPriority="0" w:name="line number"/>
    <w:lsdException w:uiPriority="0" w:name="page number"/>
    <w:lsdException w:uiPriority="0" w:name="endnote reference"/>
    <w:lsdException w:qFormat="1" w:unhideWhenUsed="0" w:uiPriority="0" w:semiHidden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99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qFormat="1" w:unhideWhenUsed="0" w:uiPriority="0" w:semiHidden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Body Text Indent"/>
    <w:basedOn w:val="1"/>
    <w:next w:val="1"/>
    <w:qFormat/>
    <w:uiPriority w:val="99"/>
    <w:pPr>
      <w:spacing w:after="120"/>
      <w:ind w:left="420" w:leftChars="200"/>
    </w:pPr>
  </w:style>
  <w:style w:type="paragraph" w:styleId="4">
    <w:name w:val="Plain Text"/>
    <w:basedOn w:val="1"/>
    <w:qFormat/>
    <w:uiPriority w:val="0"/>
    <w:rPr>
      <w:rFonts w:ascii="宋体" w:hAnsi="Courier New"/>
      <w:szCs w:val="21"/>
    </w:rPr>
  </w:style>
  <w:style w:type="paragraph" w:styleId="5">
    <w:name w:val="Date"/>
    <w:basedOn w:val="1"/>
    <w:next w:val="1"/>
    <w:link w:val="20"/>
    <w:qFormat/>
    <w:uiPriority w:val="0"/>
    <w:pPr>
      <w:ind w:left="100" w:leftChars="2500"/>
    </w:pPr>
  </w:style>
  <w:style w:type="paragraph" w:styleId="6">
    <w:name w:val="endnote text"/>
    <w:basedOn w:val="1"/>
    <w:qFormat/>
    <w:uiPriority w:val="0"/>
    <w:pPr>
      <w:snapToGrid w:val="0"/>
      <w:jc w:val="left"/>
    </w:pPr>
    <w:rPr>
      <w:sz w:val="21"/>
    </w:rPr>
  </w:style>
  <w:style w:type="paragraph" w:styleId="7">
    <w:name w:val="Balloon Text"/>
    <w:basedOn w:val="1"/>
    <w:link w:val="21"/>
    <w:semiHidden/>
    <w:unhideWhenUsed/>
    <w:qFormat/>
    <w:uiPriority w:val="0"/>
    <w:rPr>
      <w:sz w:val="18"/>
      <w:szCs w:val="18"/>
    </w:rPr>
  </w:style>
  <w:style w:type="paragraph" w:styleId="8">
    <w:name w:val="footer"/>
    <w:basedOn w:val="1"/>
    <w:link w:val="2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qFormat/>
    <w:uiPriority w:val="39"/>
    <w:pPr>
      <w:spacing w:before="120" w:beforeLines="0" w:after="120" w:afterLines="0"/>
      <w:jc w:val="left"/>
    </w:pPr>
    <w:rPr>
      <w:b/>
      <w:bCs/>
      <w:caps/>
      <w:sz w:val="20"/>
    </w:rPr>
  </w:style>
  <w:style w:type="paragraph" w:styleId="11">
    <w:name w:val="Body Text Indent 3"/>
    <w:basedOn w:val="1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12">
    <w:name w:val="Body Text First Indent 2"/>
    <w:basedOn w:val="1"/>
    <w:qFormat/>
    <w:uiPriority w:val="0"/>
    <w:pPr>
      <w:ind w:firstLine="420" w:firstLineChars="200"/>
    </w:p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annotation reference"/>
    <w:basedOn w:val="15"/>
    <w:semiHidden/>
    <w:unhideWhenUsed/>
    <w:qFormat/>
    <w:uiPriority w:val="99"/>
    <w:rPr>
      <w:rFonts w:asciiTheme="minorHAnsi" w:hAnsiTheme="minorHAnsi" w:eastAsiaTheme="minorEastAsia" w:cstheme="minorBidi"/>
      <w:sz w:val="21"/>
      <w:szCs w:val="21"/>
    </w:rPr>
  </w:style>
  <w:style w:type="character" w:customStyle="1" w:styleId="17">
    <w:name w:val="页眉 字符"/>
    <w:basedOn w:val="15"/>
    <w:link w:val="9"/>
    <w:qFormat/>
    <w:uiPriority w:val="0"/>
    <w:rPr>
      <w:kern w:val="2"/>
      <w:sz w:val="18"/>
      <w:szCs w:val="18"/>
    </w:rPr>
  </w:style>
  <w:style w:type="character" w:customStyle="1" w:styleId="18">
    <w:name w:val="页脚 字符"/>
    <w:basedOn w:val="15"/>
    <w:link w:val="8"/>
    <w:qFormat/>
    <w:uiPriority w:val="99"/>
    <w:rPr>
      <w:kern w:val="2"/>
      <w:sz w:val="18"/>
      <w:szCs w:val="18"/>
    </w:rPr>
  </w:style>
  <w:style w:type="character" w:customStyle="1" w:styleId="19">
    <w:name w:val="页眉 Char"/>
    <w:basedOn w:val="15"/>
    <w:link w:val="9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0">
    <w:name w:val="日期 Char"/>
    <w:basedOn w:val="15"/>
    <w:link w:val="5"/>
    <w:qFormat/>
    <w:uiPriority w:val="0"/>
    <w:rPr>
      <w:rFonts w:asciiTheme="minorHAnsi" w:hAnsiTheme="minorHAnsi" w:eastAsiaTheme="minorEastAsia" w:cstheme="minorBidi"/>
    </w:rPr>
  </w:style>
  <w:style w:type="character" w:customStyle="1" w:styleId="21">
    <w:name w:val="批注框文本 Char"/>
    <w:basedOn w:val="15"/>
    <w:link w:val="7"/>
    <w:semiHidden/>
    <w:qFormat/>
    <w:uiPriority w:val="0"/>
    <w:rPr>
      <w:rFonts w:asciiTheme="minorHAnsi" w:hAnsiTheme="minorHAnsi" w:eastAsiaTheme="minorEastAsia" w:cstheme="minorBidi"/>
      <w:sz w:val="18"/>
      <w:szCs w:val="18"/>
    </w:rPr>
  </w:style>
  <w:style w:type="character" w:customStyle="1" w:styleId="22">
    <w:name w:val="页脚 Char"/>
    <w:basedOn w:val="15"/>
    <w:link w:val="8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23">
    <w:name w:val="表内文字"/>
    <w:qFormat/>
    <w:uiPriority w:val="0"/>
    <w:pPr>
      <w:snapToGrid w:val="0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24">
    <w:name w:val="Default"/>
    <w:unhideWhenUsed/>
    <w:qFormat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eastAsia" w:ascii="Microsoft YaHei UI" w:hAnsi="Microsoft YaHei UI" w:eastAsia="Microsoft YaHei UI" w:cstheme="minorBidi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1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36</Words>
  <Characters>36</Characters>
  <Lines>32</Lines>
  <Paragraphs>9</Paragraphs>
  <TotalTime>8</TotalTime>
  <ScaleCrop>false</ScaleCrop>
  <LinksUpToDate>false</LinksUpToDate>
  <CharactersWithSpaces>36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2025-01-04T09:42:00Z</dcterms:created>
  <dc:creator>大家平安  利清清利</dc:creator>
  <cp:lastModifiedBy>greatwall</cp:lastModifiedBy>
  <cp:lastPrinted>2025-04-23T12:08:00Z</cp:lastPrinted>
  <dcterms:modified xsi:type="dcterms:W3CDTF">2026-01-17T19:08:14Z</dcterms:modified>
  <cp:revision>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5A9D9852942E4E58AD23D431BF470433_11</vt:lpwstr>
  </property>
  <property fmtid="{D5CDD505-2E9C-101B-9397-08002B2CF9AE}" pid="4" name="KSOTemplateDocerSaveRecord">
    <vt:lpwstr>eyJoZGlkIjoiMzEwNTM5NzYwMDRjMzkwZTVkZjY2ODkwMGIxNGU0OTUifQ==</vt:lpwstr>
  </property>
</Properties>
</file>