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08FB1">
      <w:pPr>
        <w:spacing w:line="360" w:lineRule="auto"/>
        <w:ind w:right="-248" w:rightChars="-118"/>
        <w:jc w:val="both"/>
        <w:outlineLvl w:val="0"/>
        <w:rPr>
          <w:rFonts w:hint="eastAsia" w:ascii="仿宋" w:hAnsi="仿宋" w:eastAsia="仿宋" w:cs="仿宋"/>
          <w:sz w:val="36"/>
          <w:szCs w:val="36"/>
        </w:rPr>
      </w:pPr>
      <w:bookmarkStart w:id="4" w:name="_GoBack"/>
      <w:bookmarkEnd w:id="4"/>
    </w:p>
    <w:p w14:paraId="6CC73203">
      <w:pPr>
        <w:spacing w:line="360" w:lineRule="auto"/>
        <w:ind w:left="-124" w:leftChars="-59" w:right="-248" w:rightChars="-118"/>
        <w:jc w:val="center"/>
        <w:outlineLvl w:val="0"/>
        <w:rPr>
          <w:rFonts w:hint="eastAsia" w:ascii="仿宋" w:hAnsi="仿宋" w:eastAsia="仿宋" w:cs="仿宋"/>
          <w:sz w:val="36"/>
          <w:szCs w:val="36"/>
        </w:rPr>
      </w:pPr>
    </w:p>
    <w:p w14:paraId="4F8F347B">
      <w:pPr>
        <w:spacing w:line="700" w:lineRule="exact"/>
        <w:jc w:val="center"/>
        <w:rPr>
          <w:rFonts w:ascii="方正小标宋简体" w:hAnsi="宋体" w:eastAsia="方正小标宋简体" w:cs="宋体"/>
          <w:w w:val="90"/>
          <w:sz w:val="44"/>
          <w:szCs w:val="44"/>
        </w:rPr>
      </w:pPr>
      <w:r>
        <w:rPr>
          <w:rFonts w:hint="eastAsia" w:ascii="方正小标宋简体" w:hAnsi="宋体" w:eastAsia="方正小标宋简体" w:cs="宋体"/>
          <w:w w:val="90"/>
          <w:sz w:val="44"/>
          <w:szCs w:val="44"/>
        </w:rPr>
        <w:t>《鄂托克旗亿得矿业有限责任公司石灰石</w:t>
      </w:r>
      <w:r>
        <w:rPr>
          <w:rFonts w:hint="eastAsia" w:ascii="方正小标宋简体" w:hAnsi="宋体" w:eastAsia="方正小标宋简体" w:cs="宋体"/>
          <w:w w:val="90"/>
          <w:sz w:val="44"/>
          <w:szCs w:val="44"/>
          <w:lang w:val="en-US" w:eastAsia="zh-CN"/>
        </w:rPr>
        <w:t>一</w:t>
      </w:r>
      <w:r>
        <w:rPr>
          <w:rFonts w:hint="eastAsia" w:ascii="方正小标宋简体" w:hAnsi="宋体" w:eastAsia="方正小标宋简体" w:cs="宋体"/>
          <w:w w:val="90"/>
          <w:sz w:val="44"/>
          <w:szCs w:val="44"/>
        </w:rPr>
        <w:t>矿</w:t>
      </w:r>
    </w:p>
    <w:p w14:paraId="6B3DD33D">
      <w:pPr>
        <w:spacing w:line="700" w:lineRule="exact"/>
        <w:jc w:val="center"/>
        <w:rPr>
          <w:rFonts w:hint="eastAsia"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开采方案》</w:t>
      </w:r>
    </w:p>
    <w:p w14:paraId="02FA818D">
      <w:pPr>
        <w:spacing w:line="640" w:lineRule="atLeast"/>
        <w:jc w:val="center"/>
        <w:rPr>
          <w:rFonts w:hint="eastAsia" w:ascii="黑体" w:hAnsi="黑体" w:eastAsia="黑体" w:cs="新宋体"/>
          <w:sz w:val="44"/>
          <w:szCs w:val="44"/>
        </w:rPr>
      </w:pPr>
    </w:p>
    <w:p w14:paraId="2471A73F">
      <w:pPr>
        <w:pStyle w:val="8"/>
        <w:rPr>
          <w:rFonts w:hint="eastAsia" w:ascii="仿宋" w:hAnsi="仿宋" w:eastAsia="仿宋" w:cs="仿宋"/>
        </w:rPr>
      </w:pPr>
    </w:p>
    <w:p w14:paraId="374FC4E3">
      <w:pPr>
        <w:spacing w:line="360" w:lineRule="auto"/>
        <w:jc w:val="center"/>
        <w:outlineLvl w:val="0"/>
        <w:rPr>
          <w:rFonts w:hint="eastAsia" w:asciiTheme="minorEastAsia" w:hAnsiTheme="minorEastAsia" w:cstheme="minorEastAsia"/>
          <w:b/>
          <w:sz w:val="52"/>
          <w:szCs w:val="52"/>
        </w:rPr>
      </w:pPr>
      <w:r>
        <w:rPr>
          <w:rFonts w:hint="eastAsia" w:asciiTheme="minorEastAsia" w:hAnsiTheme="minorEastAsia" w:cstheme="minorEastAsia"/>
          <w:b/>
          <w:sz w:val="52"/>
          <w:szCs w:val="52"/>
        </w:rPr>
        <w:t>评   审  意  见  书</w:t>
      </w:r>
    </w:p>
    <w:p w14:paraId="08824386">
      <w:pPr>
        <w:pStyle w:val="8"/>
        <w:spacing w:line="560" w:lineRule="atLeast"/>
        <w:ind w:firstLine="640"/>
        <w:rPr>
          <w:rFonts w:hint="eastAsia" w:asciiTheme="minorEastAsia" w:hAnsiTheme="minorEastAsia" w:cstheme="minorEastAsia"/>
          <w:sz w:val="32"/>
          <w:szCs w:val="32"/>
        </w:rPr>
      </w:pPr>
    </w:p>
    <w:p w14:paraId="5236B1F1">
      <w:pPr>
        <w:spacing w:line="560" w:lineRule="atLeast"/>
        <w:jc w:val="center"/>
        <w:outlineLvl w:val="0"/>
        <w:rPr>
          <w:rFonts w:hint="eastAsia"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鄂矿审字</w:t>
      </w:r>
      <w:r>
        <w:rPr>
          <w:rFonts w:hint="eastAsia" w:asciiTheme="minorEastAsia" w:hAnsiTheme="minorEastAsia" w:cstheme="minorEastAsia"/>
          <w:sz w:val="32"/>
        </w:rPr>
        <w:t>〔2026〕</w:t>
      </w:r>
      <w:r>
        <w:rPr>
          <w:rFonts w:hint="eastAsia" w:asciiTheme="minorEastAsia" w:hAnsiTheme="minorEastAsia" w:cstheme="minorEastAsia"/>
          <w:sz w:val="32"/>
          <w:lang w:val="en-US" w:eastAsia="zh-CN"/>
        </w:rPr>
        <w:t>8</w:t>
      </w:r>
      <w:r>
        <w:rPr>
          <w:rFonts w:hint="eastAsia" w:asciiTheme="minorEastAsia" w:hAnsiTheme="minorEastAsia" w:cstheme="minorEastAsia"/>
          <w:sz w:val="32"/>
          <w:szCs w:val="32"/>
        </w:rPr>
        <w:t>号</w:t>
      </w:r>
    </w:p>
    <w:p w14:paraId="1F57D9CD">
      <w:pPr>
        <w:spacing w:line="360" w:lineRule="auto"/>
        <w:jc w:val="center"/>
        <w:rPr>
          <w:rFonts w:hint="eastAsia" w:asciiTheme="minorEastAsia" w:hAnsiTheme="minorEastAsia" w:cstheme="minorEastAsia"/>
          <w:b/>
          <w:sz w:val="30"/>
          <w:szCs w:val="30"/>
        </w:rPr>
      </w:pPr>
    </w:p>
    <w:p w14:paraId="11BB9DC1">
      <w:pPr>
        <w:jc w:val="center"/>
        <w:rPr>
          <w:rFonts w:hint="eastAsia" w:ascii="宋体" w:hAnsi="宋体" w:eastAsia="宋体"/>
          <w:sz w:val="32"/>
          <w:szCs w:val="32"/>
        </w:rPr>
      </w:pPr>
    </w:p>
    <w:p w14:paraId="2FEAA9E8">
      <w:pPr>
        <w:jc w:val="center"/>
        <w:rPr>
          <w:rFonts w:hint="eastAsia" w:ascii="宋体" w:hAnsi="宋体" w:eastAsia="宋体"/>
          <w:sz w:val="32"/>
          <w:szCs w:val="32"/>
        </w:rPr>
      </w:pPr>
    </w:p>
    <w:p w14:paraId="755CC4E5">
      <w:pPr>
        <w:jc w:val="center"/>
        <w:rPr>
          <w:rFonts w:hint="eastAsia" w:ascii="宋体" w:hAnsi="宋体" w:eastAsia="宋体"/>
          <w:sz w:val="32"/>
          <w:szCs w:val="32"/>
        </w:rPr>
      </w:pPr>
    </w:p>
    <w:p w14:paraId="57B0734E">
      <w:pPr>
        <w:jc w:val="center"/>
        <w:rPr>
          <w:rFonts w:hint="eastAsia" w:ascii="宋体" w:hAnsi="宋体" w:eastAsia="宋体"/>
          <w:sz w:val="32"/>
          <w:szCs w:val="32"/>
        </w:rPr>
      </w:pPr>
    </w:p>
    <w:p w14:paraId="6B0DFD4B">
      <w:pPr>
        <w:jc w:val="center"/>
        <w:rPr>
          <w:rFonts w:hint="eastAsia" w:ascii="宋体" w:hAnsi="宋体" w:eastAsia="宋体"/>
          <w:sz w:val="32"/>
          <w:szCs w:val="32"/>
        </w:rPr>
      </w:pPr>
    </w:p>
    <w:p w14:paraId="4D1F46DB">
      <w:pPr>
        <w:jc w:val="center"/>
        <w:rPr>
          <w:rFonts w:hint="eastAsia" w:ascii="宋体" w:hAnsi="宋体" w:eastAsia="宋体"/>
          <w:sz w:val="32"/>
          <w:szCs w:val="32"/>
        </w:rPr>
      </w:pPr>
    </w:p>
    <w:p w14:paraId="7B3F12A2">
      <w:pPr>
        <w:jc w:val="center"/>
        <w:rPr>
          <w:rFonts w:hint="eastAsia" w:ascii="宋体" w:hAnsi="宋体" w:eastAsia="宋体"/>
          <w:sz w:val="32"/>
          <w:szCs w:val="32"/>
        </w:rPr>
      </w:pPr>
    </w:p>
    <w:p w14:paraId="1AB0887C">
      <w:pPr>
        <w:jc w:val="center"/>
        <w:rPr>
          <w:rFonts w:hint="eastAsia" w:ascii="宋体" w:hAnsi="宋体" w:eastAsia="宋体"/>
          <w:sz w:val="32"/>
          <w:szCs w:val="32"/>
        </w:rPr>
      </w:pPr>
    </w:p>
    <w:p w14:paraId="3E3123CC">
      <w:pPr>
        <w:jc w:val="center"/>
        <w:rPr>
          <w:rFonts w:hint="eastAsia" w:ascii="宋体" w:hAnsi="宋体" w:eastAsia="宋体"/>
          <w:sz w:val="32"/>
          <w:szCs w:val="32"/>
        </w:rPr>
      </w:pPr>
    </w:p>
    <w:p w14:paraId="58B4CB06">
      <w:pPr>
        <w:jc w:val="center"/>
        <w:rPr>
          <w:rFonts w:hint="eastAsia"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2026年5月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21</w:t>
      </w:r>
      <w:r>
        <w:rPr>
          <w:rFonts w:hint="eastAsia" w:ascii="宋体" w:hAnsi="宋体" w:eastAsia="宋体"/>
          <w:sz w:val="32"/>
          <w:szCs w:val="32"/>
        </w:rPr>
        <w:t>日</w:t>
      </w:r>
    </w:p>
    <w:p w14:paraId="22F491EC">
      <w:pPr>
        <w:spacing w:line="360" w:lineRule="auto"/>
        <w:jc w:val="left"/>
        <w:rPr>
          <w:rFonts w:hint="eastAsia" w:ascii="宋体" w:hAnsi="宋体"/>
          <w:sz w:val="32"/>
          <w:szCs w:val="32"/>
        </w:rPr>
      </w:pPr>
    </w:p>
    <w:p w14:paraId="335D4394">
      <w:pPr>
        <w:spacing w:line="360" w:lineRule="auto"/>
        <w:jc w:val="left"/>
        <w:rPr>
          <w:rFonts w:hint="eastAsia" w:ascii="宋体" w:hAnsi="宋体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811B4EF">
      <w:pPr>
        <w:spacing w:line="360" w:lineRule="auto"/>
        <w:jc w:val="left"/>
        <w:rPr>
          <w:rFonts w:hint="eastAsia" w:ascii="宋体" w:hAnsi="宋体"/>
          <w:sz w:val="32"/>
          <w:szCs w:val="32"/>
        </w:rPr>
      </w:pPr>
    </w:p>
    <w:p w14:paraId="1B165F95">
      <w:pPr>
        <w:spacing w:line="360" w:lineRule="auto"/>
        <w:jc w:val="left"/>
        <w:rPr>
          <w:rFonts w:hint="eastAsia" w:ascii="宋体" w:hAnsi="宋体"/>
          <w:sz w:val="32"/>
          <w:szCs w:val="32"/>
        </w:rPr>
      </w:pPr>
    </w:p>
    <w:p w14:paraId="57DC9CF7">
      <w:pPr>
        <w:spacing w:line="360" w:lineRule="auto"/>
        <w:jc w:val="left"/>
        <w:rPr>
          <w:rFonts w:hint="eastAsia" w:ascii="宋体" w:hAnsi="宋体"/>
          <w:sz w:val="32"/>
          <w:szCs w:val="32"/>
        </w:rPr>
      </w:pPr>
    </w:p>
    <w:p w14:paraId="35C6F532">
      <w:pPr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申请单位：鄂托克旗亿得矿业有限责任公司</w:t>
      </w:r>
    </w:p>
    <w:p w14:paraId="677CF3FE">
      <w:pPr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编制单位：内蒙古华勘技术服务有限责任公司</w:t>
      </w:r>
    </w:p>
    <w:p w14:paraId="04AFA93C">
      <w:pPr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主要编写人：赵燕飞 高春雷 王平 王强 高生仁 苏海霞</w:t>
      </w:r>
    </w:p>
    <w:p w14:paraId="0ADA2E4E">
      <w:pPr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编制日期： 2026年4月</w:t>
      </w:r>
    </w:p>
    <w:p w14:paraId="226E20BF">
      <w:pPr>
        <w:spacing w:line="360" w:lineRule="auto"/>
        <w:jc w:val="left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</w:rPr>
        <w:t>受理日期：2026</w:t>
      </w:r>
      <w:r>
        <w:rPr>
          <w:rFonts w:hint="eastAsia" w:ascii="仿宋" w:hAnsi="仿宋" w:eastAsia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" w:hAnsi="仿宋" w:eastAsia="仿宋"/>
          <w:sz w:val="32"/>
          <w:szCs w:val="32"/>
          <w:highlight w:val="none"/>
        </w:rPr>
        <w:t>日</w:t>
      </w:r>
    </w:p>
    <w:p w14:paraId="66F7AB27">
      <w:pPr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汇报人：赵燕飞</w:t>
      </w:r>
    </w:p>
    <w:p w14:paraId="731A159A">
      <w:pPr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评审专家组</w:t>
      </w:r>
    </w:p>
    <w:p w14:paraId="37421700">
      <w:pPr>
        <w:spacing w:line="360" w:lineRule="auto"/>
        <w:ind w:firstLine="960" w:firstLineChars="30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组  长：袁龙建（采  矿）</w:t>
      </w:r>
    </w:p>
    <w:p w14:paraId="759651D4">
      <w:pPr>
        <w:spacing w:line="360" w:lineRule="auto"/>
        <w:ind w:left="1480" w:leftChars="400" w:hanging="640" w:hangingChars="20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成  员：徐学智（采  矿）   和静（地质矿产）</w:t>
      </w:r>
    </w:p>
    <w:p w14:paraId="723D729D">
      <w:pPr>
        <w:spacing w:line="360" w:lineRule="auto"/>
        <w:ind w:left="1155" w:leftChars="550" w:firstLine="960" w:firstLineChars="30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王丽（水工环）     闫宝宝（选  冶）</w:t>
      </w:r>
    </w:p>
    <w:p w14:paraId="6499F6B6">
      <w:pPr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评审方式：会议评审</w:t>
      </w:r>
    </w:p>
    <w:p w14:paraId="39C6C7E8">
      <w:pPr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评审日期：2026年 4月16日</w:t>
      </w:r>
    </w:p>
    <w:p w14:paraId="7F351C1E">
      <w:pPr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评审地点：呼和浩特市</w:t>
      </w:r>
    </w:p>
    <w:p w14:paraId="4AAEB93F">
      <w:pPr>
        <w:spacing w:line="360" w:lineRule="auto"/>
        <w:jc w:val="left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</w:rPr>
        <w:t>复核日期</w:t>
      </w:r>
      <w:r>
        <w:rPr>
          <w:rFonts w:hint="eastAsia" w:ascii="仿宋" w:hAnsi="仿宋" w:eastAsia="仿宋"/>
          <w:sz w:val="32"/>
          <w:szCs w:val="32"/>
          <w:highlight w:val="none"/>
        </w:rPr>
        <w:t xml:space="preserve">：2026年 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" w:hAnsi="仿宋" w:eastAsia="仿宋"/>
          <w:sz w:val="32"/>
          <w:szCs w:val="32"/>
          <w:highlight w:val="none"/>
        </w:rPr>
        <w:t>日</w:t>
      </w:r>
    </w:p>
    <w:p w14:paraId="04DDA194">
      <w:p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 w14:paraId="249BAB84">
      <w:p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 w14:paraId="19943B76">
      <w:p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 w14:paraId="039F876E">
      <w:p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 w14:paraId="4BD3A240">
      <w:p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 w14:paraId="4C932DF9">
      <w:pPr>
        <w:spacing w:line="560" w:lineRule="exact"/>
        <w:rPr>
          <w:rFonts w:hint="eastAsia" w:ascii="宋体" w:hAnsi="宋体" w:eastAsia="宋体"/>
          <w:sz w:val="28"/>
          <w:szCs w:val="28"/>
        </w:rPr>
      </w:pPr>
    </w:p>
    <w:p w14:paraId="0EF482A0">
      <w:pPr>
        <w:spacing w:line="360" w:lineRule="auto"/>
        <w:ind w:firstLine="441" w:firstLineChars="210"/>
        <w:rPr>
          <w:rFonts w:hint="eastAsia" w:ascii="宋体" w:hAnsi="宋体"/>
          <w:bCs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77F99960">
      <w:pPr>
        <w:spacing w:line="360" w:lineRule="auto"/>
        <w:ind w:firstLine="441" w:firstLineChars="210"/>
        <w:rPr>
          <w:rFonts w:hint="eastAsia" w:ascii="宋体" w:hAnsi="宋体"/>
          <w:bCs/>
        </w:rPr>
      </w:pPr>
    </w:p>
    <w:p w14:paraId="3445D03A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鄂尔多斯市地质调查监测院2026</w:t>
      </w:r>
      <w:r>
        <w:rPr>
          <w:rFonts w:hint="eastAsia" w:ascii="仿宋" w:hAnsi="仿宋" w:eastAsia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" w:hAnsi="仿宋" w:eastAsia="仿宋"/>
          <w:sz w:val="32"/>
          <w:szCs w:val="32"/>
          <w:highlight w:val="none"/>
        </w:rPr>
        <w:t>日</w:t>
      </w:r>
      <w:r>
        <w:rPr>
          <w:rFonts w:hint="eastAsia" w:ascii="仿宋" w:hAnsi="仿宋" w:eastAsia="仿宋"/>
          <w:sz w:val="32"/>
          <w:szCs w:val="32"/>
        </w:rPr>
        <w:t>受理了鄂托克旗亿得矿业有限责任公司提交、内蒙古华勘技术服务有限责任公司编制的《鄂托克旗亿得矿业有限责任公司石灰石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sz w:val="32"/>
          <w:szCs w:val="32"/>
        </w:rPr>
        <w:t>矿开采方案》（以下简称《开采方案》），依据《内蒙古自治区自然资源厅关于做好&lt;矿产资源法&gt;实施衔接过渡期矿产资源勘查方案、开采方案评审工作的公告》（公告〔2025〕27号）和《内蒙古自治区自然资源厅关于发布矿产资源勘查方案、开采方案评审临时服务指南的公告》(公告〔2025〕30号)等文件，于2026年4月16日在呼和浩特市组织专家对《开采方案》进行了评审。会后方案提交单位按专家组意见对方案进行了修改完善，于2026年5月13日返回修改稿，经专家组复核后形成仅供矿业权管理使用的评审意见如下：</w:t>
      </w:r>
    </w:p>
    <w:p w14:paraId="60C31572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一、方案的编制目的</w:t>
      </w:r>
    </w:p>
    <w:p w14:paraId="7861C24A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《开采方案》编制目的</w:t>
      </w:r>
      <w:bookmarkStart w:id="0" w:name="_Hlk206962529"/>
      <w:r>
        <w:rPr>
          <w:rFonts w:hint="eastAsia" w:ascii="仿宋" w:hAnsi="仿宋" w:eastAsia="仿宋"/>
          <w:sz w:val="32"/>
          <w:szCs w:val="32"/>
        </w:rPr>
        <w:t>属于</w:t>
      </w:r>
      <w:bookmarkEnd w:id="0"/>
      <w:bookmarkStart w:id="1" w:name="_Hlk206962560"/>
      <w:r>
        <w:rPr>
          <w:rFonts w:hint="eastAsia" w:ascii="仿宋" w:hAnsi="仿宋" w:eastAsia="仿宋"/>
          <w:sz w:val="32"/>
          <w:szCs w:val="32"/>
        </w:rPr>
        <w:t>扩大开采区域</w:t>
      </w:r>
      <w:bookmarkEnd w:id="1"/>
      <w:r>
        <w:rPr>
          <w:rFonts w:hint="eastAsia" w:ascii="仿宋" w:hAnsi="仿宋" w:eastAsia="仿宋"/>
          <w:sz w:val="32"/>
          <w:szCs w:val="32"/>
        </w:rPr>
        <w:t>（已设矿业权整合）。</w:t>
      </w:r>
    </w:p>
    <w:p w14:paraId="1B3A3923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二、矿区地质与矿产资源情况</w:t>
      </w:r>
    </w:p>
    <w:p w14:paraId="54ED9708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依据《内蒙古自治区鄂托克旗亿得矿业有限责任公司水泥用石灰岩矿（整合）资源储量核实报告》矿产资源储量评审意见书（鄂自然资储评字〔2025〕5号）和评审备案的复函（鄂自然资储备字〔2025〕8号），矿床勘查控制程度达到了勘探程度，可作为编制开采方案的依据。</w:t>
      </w:r>
    </w:p>
    <w:p w14:paraId="6216C45C">
      <w:pPr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截止2024年12月31日，鄂托克旗亿得矿业有限责任公司石灰石矿矿区（整合）范围内累计查明资源量3418.1万吨，动用资源量400.0万吨，保有资源量3018.1万吨。其中探明资源量1575.8万吨，推断资源量1442.3万吨，矿床平均品位CaO 50.54%，MgO 1.53%，K</w:t>
      </w:r>
      <w:r>
        <w:rPr>
          <w:rFonts w:hint="eastAsia" w:ascii="仿宋" w:hAnsi="仿宋" w:eastAsia="仿宋" w:cs="仿宋"/>
          <w:sz w:val="32"/>
          <w:szCs w:val="32"/>
          <w:vertAlign w:val="subscript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O 0.19%，Na</w:t>
      </w:r>
      <w:r>
        <w:rPr>
          <w:rFonts w:hint="eastAsia" w:ascii="仿宋" w:hAnsi="仿宋" w:eastAsia="仿宋" w:cs="仿宋"/>
          <w:sz w:val="32"/>
          <w:szCs w:val="32"/>
          <w:vertAlign w:val="subscript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O 0.02%，Cl</w:t>
      </w:r>
      <w:r>
        <w:rPr>
          <w:rFonts w:hint="eastAsia" w:ascii="仿宋" w:hAnsi="仿宋" w:eastAsia="仿宋" w:cs="仿宋"/>
          <w:sz w:val="32"/>
          <w:szCs w:val="32"/>
          <w:vertAlign w:val="superscript"/>
        </w:rPr>
        <w:t xml:space="preserve">- </w:t>
      </w:r>
      <w:r>
        <w:rPr>
          <w:rFonts w:hint="eastAsia" w:ascii="仿宋" w:hAnsi="仿宋" w:eastAsia="仿宋" w:cs="仿宋"/>
          <w:sz w:val="32"/>
          <w:szCs w:val="32"/>
        </w:rPr>
        <w:t>0.01%，P</w:t>
      </w:r>
      <w:r>
        <w:rPr>
          <w:rFonts w:hint="eastAsia" w:ascii="仿宋" w:hAnsi="仿宋" w:eastAsia="仿宋" w:cs="仿宋"/>
          <w:sz w:val="32"/>
          <w:szCs w:val="32"/>
          <w:vertAlign w:val="subscript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O</w:t>
      </w:r>
      <w:r>
        <w:rPr>
          <w:rFonts w:hint="eastAsia" w:ascii="仿宋" w:hAnsi="仿宋" w:eastAsia="仿宋" w:cs="仿宋"/>
          <w:sz w:val="32"/>
          <w:szCs w:val="32"/>
          <w:vertAlign w:val="subscript"/>
        </w:rPr>
        <w:t xml:space="preserve">5 </w:t>
      </w:r>
      <w:r>
        <w:rPr>
          <w:rFonts w:hint="eastAsia" w:ascii="仿宋" w:hAnsi="仿宋" w:eastAsia="仿宋" w:cs="仿宋"/>
          <w:sz w:val="32"/>
          <w:szCs w:val="32"/>
        </w:rPr>
        <w:t>0.01%，SO</w:t>
      </w:r>
      <w:r>
        <w:rPr>
          <w:rFonts w:hint="eastAsia" w:ascii="仿宋" w:hAnsi="仿宋" w:eastAsia="仿宋" w:cs="仿宋"/>
          <w:sz w:val="32"/>
          <w:szCs w:val="32"/>
          <w:vertAlign w:val="subscript"/>
        </w:rPr>
        <w:t xml:space="preserve">3 </w:t>
      </w:r>
      <w:r>
        <w:rPr>
          <w:rFonts w:hint="eastAsia" w:ascii="仿宋" w:hAnsi="仿宋" w:eastAsia="仿宋" w:cs="仿宋"/>
          <w:sz w:val="32"/>
          <w:szCs w:val="32"/>
        </w:rPr>
        <w:t>0.06%，</w:t>
      </w:r>
      <w:r>
        <w:rPr>
          <w:rFonts w:hint="eastAsia" w:ascii="仿宋" w:hAnsi="仿宋" w:eastAsia="仿宋" w:cs="仿宋"/>
          <w:i/>
          <w:iCs/>
          <w:sz w:val="32"/>
          <w:szCs w:val="32"/>
        </w:rPr>
        <w:t>f</w:t>
      </w:r>
      <w:r>
        <w:rPr>
          <w:rFonts w:hint="eastAsia" w:ascii="仿宋" w:hAnsi="仿宋" w:eastAsia="仿宋" w:cs="仿宋"/>
          <w:sz w:val="32"/>
          <w:szCs w:val="32"/>
        </w:rPr>
        <w:t>SiO</w:t>
      </w:r>
      <w:r>
        <w:rPr>
          <w:rFonts w:hint="eastAsia" w:ascii="仿宋" w:hAnsi="仿宋" w:eastAsia="仿宋" w:cs="仿宋"/>
          <w:sz w:val="32"/>
          <w:szCs w:val="32"/>
          <w:vertAlign w:val="subscript"/>
        </w:rPr>
        <w:t xml:space="preserve">2 </w:t>
      </w:r>
      <w:r>
        <w:rPr>
          <w:rFonts w:hint="eastAsia" w:ascii="仿宋" w:hAnsi="仿宋" w:eastAsia="仿宋" w:cs="仿宋"/>
          <w:sz w:val="32"/>
          <w:szCs w:val="32"/>
        </w:rPr>
        <w:t>1.85%。</w:t>
      </w:r>
    </w:p>
    <w:p w14:paraId="39B5801F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《开采方案》设计利用的资源量2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544.9</w:t>
      </w:r>
      <w:r>
        <w:rPr>
          <w:rFonts w:hint="eastAsia" w:ascii="仿宋" w:hAnsi="仿宋" w:eastAsia="仿宋" w:cs="仿宋"/>
          <w:sz w:val="32"/>
          <w:szCs w:val="32"/>
        </w:rPr>
        <w:t>万吨，平均品位CaO 48.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97</w:t>
      </w:r>
      <w:r>
        <w:rPr>
          <w:rFonts w:hint="eastAsia" w:ascii="仿宋" w:hAnsi="仿宋" w:eastAsia="仿宋" w:cs="仿宋"/>
          <w:sz w:val="32"/>
          <w:szCs w:val="32"/>
        </w:rPr>
        <w:t>%，MgO 1.96%，K</w:t>
      </w:r>
      <w:r>
        <w:rPr>
          <w:rFonts w:hint="eastAsia" w:ascii="仿宋" w:hAnsi="仿宋" w:eastAsia="仿宋" w:cs="仿宋"/>
          <w:sz w:val="32"/>
          <w:szCs w:val="32"/>
          <w:vertAlign w:val="subscript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O 0.23%，Na</w:t>
      </w:r>
      <w:r>
        <w:rPr>
          <w:rFonts w:hint="eastAsia" w:ascii="仿宋" w:hAnsi="仿宋" w:eastAsia="仿宋" w:cs="仿宋"/>
          <w:sz w:val="32"/>
          <w:szCs w:val="32"/>
          <w:vertAlign w:val="subscript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O 0.02%，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Cl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vertAlign w:val="superscript"/>
          <w:lang w:bidi="ar"/>
        </w:rPr>
        <w:t>-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 xml:space="preserve"> 0.01%，P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vertAlign w:val="subscript"/>
          <w:lang w:bidi="ar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O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vertAlign w:val="subscript"/>
          <w:lang w:bidi="ar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 xml:space="preserve"> 0.01%，SO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vertAlign w:val="subscript"/>
          <w:lang w:bidi="ar"/>
        </w:rPr>
        <w:t>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 xml:space="preserve"> 0.06%，</w:t>
      </w:r>
      <w:r>
        <w:rPr>
          <w:rFonts w:hint="eastAsia" w:ascii="仿宋" w:hAnsi="仿宋" w:eastAsia="仿宋" w:cs="仿宋"/>
          <w:i/>
          <w:iCs/>
          <w:sz w:val="32"/>
          <w:szCs w:val="32"/>
        </w:rPr>
        <w:t>f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SiO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vertAlign w:val="subscript"/>
          <w:lang w:bidi="ar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1.95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%</w:t>
      </w:r>
      <w:r>
        <w:rPr>
          <w:rFonts w:hint="eastAsia" w:ascii="仿宋" w:hAnsi="仿宋" w:eastAsia="仿宋" w:cs="仿宋"/>
          <w:sz w:val="32"/>
          <w:szCs w:val="32"/>
        </w:rPr>
        <w:t>；估算可采储量21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71.0</w:t>
      </w:r>
      <w:r>
        <w:rPr>
          <w:rFonts w:hint="eastAsia" w:ascii="仿宋" w:hAnsi="仿宋" w:eastAsia="仿宋" w:cs="仿宋"/>
          <w:sz w:val="32"/>
          <w:szCs w:val="32"/>
        </w:rPr>
        <w:t>万吨</w:t>
      </w:r>
      <w:bookmarkStart w:id="2" w:name="_Hlk206944693"/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74F34504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三、开采区域</w:t>
      </w:r>
    </w:p>
    <w:bookmarkEnd w:id="2"/>
    <w:p w14:paraId="1C2BEA76">
      <w:pPr>
        <w:spacing w:line="360" w:lineRule="auto"/>
        <w:ind w:firstLine="643" w:firstLineChars="20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1、采矿权</w:t>
      </w:r>
    </w:p>
    <w:p w14:paraId="4B42F5F4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（1）</w:t>
      </w:r>
      <w:r>
        <w:rPr>
          <w:rFonts w:hint="eastAsia" w:ascii="仿宋" w:hAnsi="仿宋" w:eastAsia="仿宋" w:cs="宋体"/>
          <w:sz w:val="32"/>
          <w:szCs w:val="32"/>
        </w:rPr>
        <w:t>鄂托克旗亿得矿业有限责任公司石灰石一矿</w:t>
      </w:r>
    </w:p>
    <w:p w14:paraId="4A76E840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鄂托克旗亿得矿业有限责任公司石灰石一矿采矿许可证证号：C1506002011057120112391；开采方式：露天开采；生产规模：30万吨/年；矿区面积：0.2135km²，共由14个拐点圈定，分为一、二两个</w:t>
      </w:r>
      <w:r>
        <w:rPr>
          <w:rFonts w:hint="eastAsia" w:ascii="仿宋" w:hAnsi="仿宋" w:eastAsia="仿宋"/>
          <w:sz w:val="32"/>
          <w:szCs w:val="32"/>
        </w:rPr>
        <w:t>采区，开采深度均为1556m至1258m标高。</w:t>
      </w:r>
    </w:p>
    <w:p w14:paraId="25278C35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（2）鄂托克旗亿得矿业有限责任公司石灰石二矿</w:t>
      </w:r>
    </w:p>
    <w:p w14:paraId="0AF768BB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鄂托克旗亿得矿业有限责任公司石灰石二矿采矿许可证证号：XC1506002010127120084621；开采方式：露天开采；矿区面积：0.2403km²，共由19个拐点圈定，分为一、二、三共三个采区，开采深度分别为1556m至1258m标高、1394m至1258m标高、1394m至1258m标高。</w:t>
      </w:r>
    </w:p>
    <w:p w14:paraId="0DA53AB5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（3）鄂托克旗亿得矿业有限责任公司石灰石三矿</w:t>
      </w:r>
    </w:p>
    <w:p w14:paraId="16C9EFA6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鄂托克旗亿得矿业有限责任公司石灰石三矿采矿许可证证号：C1506002010127120089968；开采方式：露天开采；生产规模：10万吨/年；矿区面积：0.0960km²，由7个拐点圈定，开采深度1353m至1328m标高。</w:t>
      </w:r>
    </w:p>
    <w:p w14:paraId="474CEE9C">
      <w:pPr>
        <w:spacing w:line="360" w:lineRule="auto"/>
        <w:ind w:firstLine="643" w:firstLineChars="20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2、申请开采区域</w:t>
      </w:r>
    </w:p>
    <w:p w14:paraId="52431DA6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开采方案》申请开采区域平面范围与在鄂尔多斯市自然资源局备案的《内蒙古自治区鄂托克旗亿得矿业有限责任公司水泥用石灰岩矿（整合）资源储量核实报告》矿产资源储量评审意见书（鄂自然资储评字〔2025〕5号）中资源量估算范围一致，共由26个拐点圈定，面积0.3627km</w:t>
      </w:r>
      <w:r>
        <w:rPr>
          <w:rFonts w:ascii="Calibri" w:hAnsi="Calibri" w:eastAsia="仿宋" w:cs="Calibri"/>
          <w:sz w:val="32"/>
          <w:szCs w:val="32"/>
        </w:rPr>
        <w:t>²</w:t>
      </w:r>
      <w:r>
        <w:rPr>
          <w:rFonts w:hint="eastAsia" w:ascii="仿宋" w:hAnsi="仿宋" w:eastAsia="仿宋"/>
          <w:sz w:val="32"/>
          <w:szCs w:val="32"/>
        </w:rPr>
        <w:t>，分为一</w:t>
      </w: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一矿一采区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、二</w:t>
      </w: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一矿二采区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、三</w:t>
      </w: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三矿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、四</w:t>
      </w: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二矿一采区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共四个采区，一、二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三采区</w:t>
      </w:r>
      <w:r>
        <w:rPr>
          <w:rFonts w:hint="eastAsia" w:ascii="仿宋" w:hAnsi="仿宋" w:eastAsia="仿宋"/>
          <w:sz w:val="32"/>
          <w:szCs w:val="32"/>
        </w:rPr>
        <w:t>开采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标高均</w:t>
      </w:r>
      <w:r>
        <w:rPr>
          <w:rFonts w:hint="eastAsia" w:ascii="仿宋" w:hAnsi="仿宋" w:eastAsia="仿宋"/>
          <w:sz w:val="32"/>
          <w:szCs w:val="32"/>
        </w:rPr>
        <w:t>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资源储量估算范围中赋矿标高</w:t>
      </w:r>
      <w:r>
        <w:rPr>
          <w:rFonts w:hint="eastAsia" w:ascii="仿宋" w:hAnsi="仿宋" w:eastAsia="仿宋"/>
          <w:sz w:val="32"/>
          <w:szCs w:val="32"/>
        </w:rPr>
        <w:t>一致，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四采区</w:t>
      </w:r>
      <w:r>
        <w:rPr>
          <w:rFonts w:hint="eastAsia" w:ascii="仿宋" w:hAnsi="仿宋" w:eastAsia="仿宋"/>
          <w:sz w:val="32"/>
          <w:szCs w:val="32"/>
        </w:rPr>
        <w:t>开采深度范围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上标高</w:t>
      </w:r>
      <w:r>
        <w:rPr>
          <w:rFonts w:hint="eastAsia" w:ascii="仿宋" w:hAnsi="仿宋" w:eastAsia="仿宋"/>
          <w:sz w:val="32"/>
          <w:szCs w:val="32"/>
        </w:rPr>
        <w:t>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资源储量估算范围上标高</w:t>
      </w:r>
      <w:r>
        <w:rPr>
          <w:rFonts w:hint="eastAsia" w:ascii="仿宋" w:hAnsi="仿宋" w:eastAsia="仿宋"/>
          <w:sz w:val="32"/>
          <w:szCs w:val="32"/>
        </w:rPr>
        <w:t>一致，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下标高与采矿许可证证载下标高一致，</w:t>
      </w:r>
      <w:r>
        <w:rPr>
          <w:rFonts w:hint="eastAsia" w:ascii="仿宋" w:hAnsi="仿宋" w:eastAsia="仿宋"/>
          <w:sz w:val="32"/>
          <w:szCs w:val="32"/>
        </w:rPr>
        <w:t>露天剥离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标高与开采标高一致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E21A24E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四、矿产资源开采</w:t>
      </w:r>
    </w:p>
    <w:p w14:paraId="7AE329E7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《开采方案》根据经评审备案的矿产资源储量报告，确定开采矿种为水泥用石灰岩，推荐开采方式为露天开采，拟建生产规模为100万吨/年，估算矿山服务年限2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年。矿产资源开采方案合理。</w:t>
      </w:r>
    </w:p>
    <w:p w14:paraId="721551AB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五、矿产资源综合利用</w:t>
      </w:r>
    </w:p>
    <w:p w14:paraId="74A10201">
      <w:pPr>
        <w:tabs>
          <w:tab w:val="left" w:pos="312"/>
        </w:tabs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bookmarkStart w:id="3" w:name="OLE_LINK6"/>
      <w:r>
        <w:rPr>
          <w:rFonts w:hint="eastAsia" w:ascii="仿宋" w:hAnsi="仿宋" w:eastAsia="仿宋"/>
          <w:sz w:val="32"/>
          <w:szCs w:val="32"/>
        </w:rPr>
        <w:t>《开采方案》</w:t>
      </w:r>
      <w:bookmarkEnd w:id="3"/>
      <w:r>
        <w:rPr>
          <w:rFonts w:hint="eastAsia" w:ascii="仿宋" w:hAnsi="仿宋" w:eastAsia="仿宋"/>
          <w:sz w:val="32"/>
          <w:szCs w:val="32"/>
        </w:rPr>
        <w:t>推荐产品方案为水泥用石灰岩产品；根据选矿试验研究结果和矿山实际矿石加工流程，提出初步选矿方案为破碎-分级工艺流程；该矿无可利用的共伴生矿种。</w:t>
      </w:r>
    </w:p>
    <w:p w14:paraId="6300C1DD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六、矿产资源“三率”指标</w:t>
      </w:r>
    </w:p>
    <w:p w14:paraId="7B6DD200">
      <w:pPr>
        <w:tabs>
          <w:tab w:val="left" w:pos="312"/>
        </w:tabs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矿业权人应采取有效措施确保“三率”指标达到国家有关标准要求。</w:t>
      </w:r>
    </w:p>
    <w:p w14:paraId="3996FFB8">
      <w:pPr>
        <w:tabs>
          <w:tab w:val="left" w:pos="312"/>
        </w:tabs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《开采方案》推荐露天开采回采率95%，达到《矿产资源“三率”指标要求 第6部分：石墨等26种非金属矿产》（DZ/T 0462.6-2023）中石灰岩矿的一般指标要求。该矿不涉及选矿回收率和综合利用率。</w:t>
      </w:r>
    </w:p>
    <w:p w14:paraId="026AE2F3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七、说明与建议</w:t>
      </w:r>
    </w:p>
    <w:p w14:paraId="59796DDA">
      <w:pPr>
        <w:tabs>
          <w:tab w:val="left" w:pos="312"/>
        </w:tabs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1、矿山建设、生产中须严格执行安全、生态保护等规定。矿山安全、环境影响评价、矿区生态修复、水土保持等按照各相应主管部门审批的方案执行。</w:t>
      </w:r>
    </w:p>
    <w:p w14:paraId="3CEB369C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2、该矿现整合后各采区间留有空白区，</w:t>
      </w:r>
      <w:r>
        <w:rPr>
          <w:rFonts w:hint="eastAsia" w:ascii="仿宋" w:hAnsi="仿宋" w:eastAsia="仿宋" w:cs="宋体"/>
          <w:snapToGrid w:val="0"/>
          <w:color w:val="000000"/>
          <w:spacing w:val="4"/>
          <w:kern w:val="0"/>
          <w:sz w:val="32"/>
          <w:szCs w:val="32"/>
          <w:lang w:val="en-US" w:eastAsia="zh-CN"/>
        </w:rPr>
        <w:t>且二、三采区上部存在未出让的资源量，</w:t>
      </w:r>
      <w:r>
        <w:rPr>
          <w:rFonts w:hint="eastAsia" w:ascii="仿宋" w:hAnsi="仿宋" w:eastAsia="仿宋"/>
          <w:sz w:val="32"/>
          <w:szCs w:val="32"/>
        </w:rPr>
        <w:t>不利于矿产资源的</w:t>
      </w:r>
      <w:r>
        <w:rPr>
          <w:rFonts w:hint="eastAsia" w:ascii="仿宋" w:hAnsi="仿宋" w:eastAsia="仿宋" w:cs="宋体"/>
          <w:snapToGrid w:val="0"/>
          <w:color w:val="000000"/>
          <w:spacing w:val="4"/>
          <w:kern w:val="0"/>
          <w:sz w:val="32"/>
          <w:szCs w:val="32"/>
        </w:rPr>
        <w:t>节约集约安全开发利用，</w:t>
      </w:r>
      <w:r>
        <w:rPr>
          <w:rFonts w:hint="eastAsia" w:ascii="仿宋" w:hAnsi="仿宋" w:eastAsia="仿宋"/>
          <w:sz w:val="32"/>
          <w:szCs w:val="32"/>
        </w:rPr>
        <w:t>建议对各采区进行进一步的整合。</w:t>
      </w:r>
    </w:p>
    <w:p w14:paraId="6D73DA6B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八、评审结论</w:t>
      </w:r>
    </w:p>
    <w:p w14:paraId="5020DC73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开采方案》符合《内蒙古自治区自然资源厅关于做好&lt;矿产资源法&gt;实施衔接过渡期矿产资源勘查方案、开采方案评审工作的公告》（公告〔2025〕27号）和《内蒙古自治区自然资源厅关于发布矿产资源勘查方案、开采方案评审临时服务指南的公告》(公告〔2025〕30号)等文件要求，同意通过评审。</w:t>
      </w:r>
    </w:p>
    <w:p w14:paraId="515E605C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52C26B4E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49E91BDC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2D28D13B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</w:t>
      </w:r>
    </w:p>
    <w:p w14:paraId="0CC5961D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4A400E15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76D640F1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0520EB2D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4C4334DC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7F22DD47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5B6BB556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  鄂尔多斯市地质调查监测院</w:t>
      </w:r>
      <w:r>
        <w:rPr>
          <w:rFonts w:hint="eastAsia" w:ascii="仿宋" w:hAnsi="仿宋" w:eastAsia="仿宋"/>
          <w:sz w:val="32"/>
          <w:szCs w:val="32"/>
        </w:rPr>
        <w:t xml:space="preserve">                   </w:t>
      </w:r>
    </w:p>
    <w:p w14:paraId="3DA3BBA3">
      <w:pPr>
        <w:spacing w:line="360" w:lineRule="auto"/>
        <w:ind w:firstLine="5120" w:firstLineChars="16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2026年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76933223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3B3570BE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2F55AC56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附件：《鄂托克旗亿得矿业有限责任公司石灰石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sz w:val="32"/>
          <w:szCs w:val="32"/>
        </w:rPr>
        <w:t>矿开采方案》评审专家组人员名单</w:t>
      </w:r>
    </w:p>
    <w:p w14:paraId="182E1965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769781F7">
      <w:pPr>
        <w:spacing w:line="360" w:lineRule="auto"/>
        <w:rPr>
          <w:rFonts w:hint="eastAsia" w:ascii="仿宋" w:hAnsi="仿宋" w:eastAsia="仿宋"/>
          <w:sz w:val="32"/>
          <w:szCs w:val="32"/>
        </w:rPr>
      </w:pPr>
    </w:p>
    <w:p w14:paraId="010C464E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6ACB0ADC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3E65AEB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2</w:t>
      </w:r>
    </w:p>
    <w:p w14:paraId="6290D89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13DAA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《鄂托克旗亿得矿业有限责任公司石灰石一矿开采方案》</w:t>
      </w:r>
    </w:p>
    <w:p w14:paraId="32E38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评审专家组人员名单</w:t>
      </w:r>
    </w:p>
    <w:p w14:paraId="62FAE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</w:p>
    <w:p w14:paraId="6E0D6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</w:p>
    <w:p w14:paraId="086668AE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drawing>
          <wp:inline distT="0" distB="0" distL="114300" distR="114300">
            <wp:extent cx="5598795" cy="3786505"/>
            <wp:effectExtent l="0" t="0" r="1905" b="4445"/>
            <wp:docPr id="1" name="图片 1" descr="ff38792c5e1771ae229614fd60f5a1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f38792c5e1771ae229614fd60f5a10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8795" cy="378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020FE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59397"/>
      <w:docPartObj>
        <w:docPartGallery w:val="autotext"/>
      </w:docPartObj>
    </w:sdtPr>
    <w:sdtContent>
      <w:p w14:paraId="0563962F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77DB4B8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EF4C4E"/>
    <w:rsid w:val="0001600D"/>
    <w:rsid w:val="00030267"/>
    <w:rsid w:val="00082759"/>
    <w:rsid w:val="000B36CD"/>
    <w:rsid w:val="001219A8"/>
    <w:rsid w:val="0013019D"/>
    <w:rsid w:val="001302DC"/>
    <w:rsid w:val="00143E72"/>
    <w:rsid w:val="00163B3A"/>
    <w:rsid w:val="0016794F"/>
    <w:rsid w:val="00192B20"/>
    <w:rsid w:val="001F4A98"/>
    <w:rsid w:val="00211C91"/>
    <w:rsid w:val="00242F0D"/>
    <w:rsid w:val="0028516B"/>
    <w:rsid w:val="002D25F3"/>
    <w:rsid w:val="002E5122"/>
    <w:rsid w:val="003518AF"/>
    <w:rsid w:val="0035404E"/>
    <w:rsid w:val="003C7FFE"/>
    <w:rsid w:val="003D0890"/>
    <w:rsid w:val="0040643C"/>
    <w:rsid w:val="00474D34"/>
    <w:rsid w:val="004A713D"/>
    <w:rsid w:val="004C0666"/>
    <w:rsid w:val="00517838"/>
    <w:rsid w:val="00531957"/>
    <w:rsid w:val="00563D6B"/>
    <w:rsid w:val="00566774"/>
    <w:rsid w:val="005A00A9"/>
    <w:rsid w:val="005D46FD"/>
    <w:rsid w:val="005E26F8"/>
    <w:rsid w:val="00614FA7"/>
    <w:rsid w:val="00633036"/>
    <w:rsid w:val="00673FDF"/>
    <w:rsid w:val="006D3DF1"/>
    <w:rsid w:val="00747B4F"/>
    <w:rsid w:val="00751323"/>
    <w:rsid w:val="007614C7"/>
    <w:rsid w:val="007C5EFD"/>
    <w:rsid w:val="007F1B89"/>
    <w:rsid w:val="00824E9A"/>
    <w:rsid w:val="00832AD7"/>
    <w:rsid w:val="00870B15"/>
    <w:rsid w:val="008C5BCF"/>
    <w:rsid w:val="008F0EF3"/>
    <w:rsid w:val="0094564B"/>
    <w:rsid w:val="00947589"/>
    <w:rsid w:val="009769F3"/>
    <w:rsid w:val="00990F63"/>
    <w:rsid w:val="009C6AC5"/>
    <w:rsid w:val="009E183E"/>
    <w:rsid w:val="00A10DFE"/>
    <w:rsid w:val="00A60B5D"/>
    <w:rsid w:val="00A80B45"/>
    <w:rsid w:val="00AD2EE7"/>
    <w:rsid w:val="00B2758D"/>
    <w:rsid w:val="00B33CEA"/>
    <w:rsid w:val="00B37844"/>
    <w:rsid w:val="00B65DBA"/>
    <w:rsid w:val="00BA245C"/>
    <w:rsid w:val="00BD61A5"/>
    <w:rsid w:val="00C01022"/>
    <w:rsid w:val="00C0501B"/>
    <w:rsid w:val="00C063D8"/>
    <w:rsid w:val="00C106AD"/>
    <w:rsid w:val="00C7362F"/>
    <w:rsid w:val="00CB4458"/>
    <w:rsid w:val="00CD59F9"/>
    <w:rsid w:val="00CF3652"/>
    <w:rsid w:val="00CF63F8"/>
    <w:rsid w:val="00D62298"/>
    <w:rsid w:val="00D84402"/>
    <w:rsid w:val="00D87186"/>
    <w:rsid w:val="00E038B8"/>
    <w:rsid w:val="00E05E5B"/>
    <w:rsid w:val="00E7301F"/>
    <w:rsid w:val="00E805CF"/>
    <w:rsid w:val="00ED34CF"/>
    <w:rsid w:val="00F26B94"/>
    <w:rsid w:val="00F3639F"/>
    <w:rsid w:val="00F42B2B"/>
    <w:rsid w:val="00F820FB"/>
    <w:rsid w:val="00F871CF"/>
    <w:rsid w:val="00F94868"/>
    <w:rsid w:val="00FA7EA1"/>
    <w:rsid w:val="00FE3057"/>
    <w:rsid w:val="0247556A"/>
    <w:rsid w:val="070E2AFA"/>
    <w:rsid w:val="0C6C036D"/>
    <w:rsid w:val="0ED10695"/>
    <w:rsid w:val="0FB45A0F"/>
    <w:rsid w:val="10ED34D7"/>
    <w:rsid w:val="11FA0E6C"/>
    <w:rsid w:val="12942106"/>
    <w:rsid w:val="158E5532"/>
    <w:rsid w:val="16DF3B6C"/>
    <w:rsid w:val="19BF7DAB"/>
    <w:rsid w:val="1AB93588"/>
    <w:rsid w:val="1DF31BD4"/>
    <w:rsid w:val="21D50045"/>
    <w:rsid w:val="22751746"/>
    <w:rsid w:val="27713183"/>
    <w:rsid w:val="279E1F73"/>
    <w:rsid w:val="2E157DAA"/>
    <w:rsid w:val="32EF4C4E"/>
    <w:rsid w:val="32F04CDF"/>
    <w:rsid w:val="41AA7466"/>
    <w:rsid w:val="48142DC6"/>
    <w:rsid w:val="48213BE5"/>
    <w:rsid w:val="48E35935"/>
    <w:rsid w:val="4A0C644A"/>
    <w:rsid w:val="51DC2BA6"/>
    <w:rsid w:val="54A66B35"/>
    <w:rsid w:val="5DDB5445"/>
    <w:rsid w:val="63133C25"/>
    <w:rsid w:val="69984C70"/>
    <w:rsid w:val="6E427961"/>
    <w:rsid w:val="736A2467"/>
    <w:rsid w:val="7879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endnote text"/>
    <w:basedOn w:val="1"/>
    <w:qFormat/>
    <w:uiPriority w:val="0"/>
    <w:pPr>
      <w:snapToGrid w:val="0"/>
      <w:jc w:val="left"/>
    </w:pPr>
    <w:rPr>
      <w:sz w:val="21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qFormat/>
    <w:uiPriority w:val="39"/>
    <w:pPr>
      <w:spacing w:before="120" w:beforeLines="0" w:after="120" w:afterLines="0"/>
      <w:jc w:val="left"/>
    </w:pPr>
    <w:rPr>
      <w:b/>
      <w:bCs/>
      <w:caps/>
      <w:sz w:val="20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2"/>
    <w:qFormat/>
    <w:uiPriority w:val="0"/>
    <w:pPr>
      <w:ind w:firstLine="420" w:firstLineChars="200"/>
    </w:p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FCCCC-41E7-4782-996E-EAEA6C684D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2523</Words>
  <Characters>2917</Characters>
  <Lines>196</Lines>
  <Paragraphs>87</Paragraphs>
  <TotalTime>1</TotalTime>
  <ScaleCrop>false</ScaleCrop>
  <LinksUpToDate>false</LinksUpToDate>
  <CharactersWithSpaces>3056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2025-09-23T08:40:00Z</dcterms:created>
  <dc:creator>石</dc:creator>
  <cp:lastModifiedBy>冯志燕</cp:lastModifiedBy>
  <dcterms:modified xsi:type="dcterms:W3CDTF">2026-05-29T02:59:38Z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FBA2BAB192B74BEA97425214B9F335F3_13</vt:lpwstr>
  </property>
  <property fmtid="{D5CDD505-2E9C-101B-9397-08002B2CF9AE}" pid="4" name="KSOTemplateDocerSaveRecord">
    <vt:lpwstr>eyJoZGlkIjoiOTQxNTVkNWI0Y2E2ZWVhYzM0MjFhNjczYjNkMTI4MDgiLCJ1c2VySWQiOiI0NjEwOTE0NzIifQ==</vt:lpwstr>
  </property>
</Properties>
</file>