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B943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  <w:bookmarkStart w:id="4" w:name="_GoBack"/>
      <w:bookmarkEnd w:id="4"/>
      <w:bookmarkStart w:id="0" w:name="_Hlk182408923"/>
    </w:p>
    <w:p w14:paraId="7093F79F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</w:p>
    <w:bookmarkEnd w:id="0"/>
    <w:p w14:paraId="5A520FAD">
      <w:pPr>
        <w:spacing w:line="360" w:lineRule="auto"/>
        <w:jc w:val="center"/>
        <w:rPr>
          <w:rFonts w:ascii="宋体" w:hAnsi="宋体" w:eastAsia="宋体"/>
          <w:b/>
          <w:bCs/>
          <w:color w:val="auto"/>
          <w:spacing w:val="18"/>
          <w:kern w:val="0"/>
          <w:sz w:val="48"/>
          <w:szCs w:val="48"/>
        </w:rPr>
      </w:pPr>
      <w:r>
        <w:rPr>
          <w:rFonts w:hint="eastAsia" w:cs="方正小标宋简体" w:asciiTheme="minorEastAsia" w:hAnsiTheme="minorEastAsia"/>
          <w:b/>
          <w:color w:val="auto"/>
          <w:sz w:val="44"/>
          <w:szCs w:val="44"/>
        </w:rPr>
        <w:t>《</w:t>
      </w:r>
      <w:r>
        <w:rPr>
          <w:rFonts w:hint="eastAsia" w:ascii="宋体" w:hAnsi="宋体" w:eastAsia="宋体"/>
          <w:b/>
          <w:bCs/>
          <w:color w:val="auto"/>
          <w:spacing w:val="18"/>
          <w:kern w:val="0"/>
          <w:sz w:val="48"/>
          <w:szCs w:val="48"/>
        </w:rPr>
        <w:t>内蒙古</w:t>
      </w:r>
      <w:r>
        <w:rPr>
          <w:rFonts w:ascii="宋体" w:hAnsi="宋体" w:eastAsia="宋体"/>
          <w:b/>
          <w:bCs/>
          <w:color w:val="auto"/>
          <w:spacing w:val="18"/>
          <w:kern w:val="0"/>
          <w:sz w:val="48"/>
          <w:szCs w:val="48"/>
        </w:rPr>
        <w:t>自治区鄂托克旗金瀚源矿区8号石灰岩边角资源</w:t>
      </w:r>
      <w:r>
        <w:rPr>
          <w:rFonts w:hint="eastAsia" w:ascii="黑体" w:hAnsi="黑体" w:cs="黑体"/>
          <w:b/>
          <w:bCs/>
          <w:color w:val="auto"/>
          <w:spacing w:val="18"/>
          <w:kern w:val="0"/>
          <w:sz w:val="52"/>
          <w:szCs w:val="52"/>
        </w:rPr>
        <w:t>勘查方案</w:t>
      </w:r>
      <w:r>
        <w:rPr>
          <w:rFonts w:hint="eastAsia" w:cs="方正小标宋简体" w:asciiTheme="minorEastAsia" w:hAnsiTheme="minorEastAsia"/>
          <w:b/>
          <w:color w:val="auto"/>
          <w:sz w:val="44"/>
          <w:szCs w:val="44"/>
        </w:rPr>
        <w:t>》</w:t>
      </w:r>
    </w:p>
    <w:p w14:paraId="401FDDB7">
      <w:pPr>
        <w:spacing w:before="240" w:beforeLines="100" w:after="240" w:afterLines="100" w:line="720" w:lineRule="exact"/>
        <w:jc w:val="center"/>
        <w:rPr>
          <w:rFonts w:cs="方正小标宋简体" w:asciiTheme="majorEastAsia" w:hAnsiTheme="majorEastAsia" w:eastAsiaTheme="majorEastAsia"/>
          <w:b/>
          <w:color w:val="auto"/>
          <w:sz w:val="44"/>
          <w:szCs w:val="44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z w:val="44"/>
          <w:szCs w:val="44"/>
        </w:rPr>
        <w:t>评  审  意  见  书</w:t>
      </w:r>
    </w:p>
    <w:p w14:paraId="6F51631D">
      <w:pPr>
        <w:spacing w:before="240" w:beforeLines="100" w:after="240" w:afterLines="100" w:line="72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鄂矿勘评字</w:t>
      </w:r>
      <w:r>
        <w:rPr>
          <w:rFonts w:hint="eastAsia" w:ascii="仿宋" w:hAnsi="仿宋" w:eastAsia="仿宋"/>
          <w:bCs/>
          <w:color w:val="auto"/>
          <w:sz w:val="32"/>
        </w:rPr>
        <w:t>〔2026〕</w:t>
      </w:r>
      <w:r>
        <w:rPr>
          <w:rFonts w:hint="eastAsia" w:ascii="仿宋" w:hAnsi="仿宋" w:eastAsia="仿宋"/>
          <w:bCs/>
          <w:color w:val="auto"/>
          <w:sz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  <w:szCs w:val="32"/>
        </w:rPr>
        <w:t>号</w:t>
      </w:r>
    </w:p>
    <w:p w14:paraId="2D7AA63C">
      <w:pPr>
        <w:spacing w:before="240" w:beforeLines="100" w:after="240" w:afterLines="100" w:line="660" w:lineRule="exact"/>
        <w:jc w:val="center"/>
        <w:rPr>
          <w:rFonts w:ascii="仿宋" w:hAnsi="仿宋" w:eastAsia="仿宋"/>
          <w:color w:val="auto"/>
          <w:sz w:val="44"/>
          <w:szCs w:val="36"/>
        </w:rPr>
      </w:pPr>
    </w:p>
    <w:p w14:paraId="7C490390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1C806F9E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310CB44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05F4181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5513057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9E041E3">
      <w:pPr>
        <w:spacing w:before="240" w:beforeLines="100" w:after="240" w:afterLines="100" w:line="600" w:lineRule="exact"/>
        <w:rPr>
          <w:rFonts w:ascii="仿宋" w:hAnsi="仿宋" w:eastAsia="仿宋"/>
          <w:color w:val="auto"/>
          <w:sz w:val="32"/>
          <w:szCs w:val="32"/>
        </w:rPr>
      </w:pPr>
    </w:p>
    <w:p w14:paraId="3A26F29A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6B4D11C6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382D87B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871" w:right="1531" w:bottom="1871" w:left="1531" w:header="720" w:footer="720" w:gutter="0"/>
          <w:cols w:space="720" w:num="1"/>
          <w:titlePg/>
          <w:docGrid w:linePitch="312" w:charSpace="640"/>
        </w:sectPr>
      </w:pPr>
    </w:p>
    <w:p w14:paraId="14AE0F48">
      <w:pPr>
        <w:spacing w:line="480" w:lineRule="auto"/>
        <w:rPr>
          <w:rFonts w:ascii="宋体" w:hAnsi="宋体" w:eastAsia="宋体" w:cs="宋体"/>
          <w:color w:val="auto"/>
          <w:sz w:val="2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申请单位：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鄂托克旗金瀚源矿业有限责任公司</w:t>
      </w:r>
    </w:p>
    <w:p w14:paraId="0C8BA361">
      <w:pPr>
        <w:spacing w:line="480" w:lineRule="auto"/>
        <w:ind w:left="2400" w:hanging="2400" w:hangingChars="5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编制单位：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内蒙古三维拓普地质勘察设计有限责任公司</w:t>
      </w:r>
    </w:p>
    <w:p w14:paraId="2C94433E">
      <w:pPr>
        <w:pStyle w:val="18"/>
        <w:rPr>
          <w:rFonts w:hAnsi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30"/>
          <w:sz w:val="32"/>
          <w:szCs w:val="32"/>
        </w:rPr>
        <w:t>主要编写人：</w:t>
      </w:r>
      <w:r>
        <w:rPr>
          <w:rFonts w:ascii="仿宋" w:hAnsi="仿宋" w:eastAsia="仿宋"/>
          <w:color w:val="auto"/>
          <w:sz w:val="32"/>
          <w:szCs w:val="32"/>
        </w:rPr>
        <w:t>寇立峰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 </w:t>
      </w:r>
      <w:r>
        <w:rPr>
          <w:rFonts w:ascii="仿宋" w:hAnsi="仿宋" w:eastAsia="仿宋"/>
          <w:color w:val="auto"/>
          <w:sz w:val="32"/>
          <w:szCs w:val="32"/>
        </w:rPr>
        <w:t>安海江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 </w:t>
      </w:r>
      <w:r>
        <w:rPr>
          <w:rFonts w:ascii="仿宋" w:hAnsi="仿宋" w:eastAsia="仿宋"/>
          <w:color w:val="auto"/>
          <w:sz w:val="32"/>
          <w:szCs w:val="32"/>
        </w:rPr>
        <w:t>贾松毫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 </w:t>
      </w:r>
      <w:r>
        <w:rPr>
          <w:rFonts w:ascii="仿宋" w:hAnsi="仿宋" w:eastAsia="仿宋"/>
          <w:color w:val="auto"/>
          <w:sz w:val="32"/>
          <w:szCs w:val="32"/>
        </w:rPr>
        <w:t>王帅</w:t>
      </w:r>
    </w:p>
    <w:p w14:paraId="448B1BBA">
      <w:pPr>
        <w:pStyle w:val="18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sz w:val="32"/>
          <w:szCs w:val="32"/>
        </w:rPr>
        <w:t>编制日期：2026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</w:t>
      </w:r>
    </w:p>
    <w:p w14:paraId="39992075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受理日期：</w:t>
      </w:r>
      <w:r>
        <w:rPr>
          <w:rFonts w:hint="eastAsia" w:ascii="仿宋" w:hAnsi="仿宋" w:eastAsia="仿宋"/>
          <w:color w:val="auto"/>
          <w:sz w:val="32"/>
          <w:szCs w:val="32"/>
        </w:rPr>
        <w:t>2026年5月16日</w:t>
      </w:r>
    </w:p>
    <w:p w14:paraId="3C7FE3CA">
      <w:pPr>
        <w:spacing w:line="360" w:lineRule="auto"/>
        <w:jc w:val="lef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240"/>
          <w:kern w:val="0"/>
          <w:sz w:val="32"/>
          <w:szCs w:val="32"/>
        </w:rPr>
        <w:t>汇报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人</w:t>
      </w:r>
      <w:r>
        <w:rPr>
          <w:rFonts w:hint="eastAsia" w:ascii="仿宋" w:hAnsi="仿宋" w:eastAsia="仿宋"/>
          <w:color w:val="auto"/>
          <w:sz w:val="32"/>
          <w:szCs w:val="32"/>
        </w:rPr>
        <w:t>：</w:t>
      </w:r>
      <w:r>
        <w:rPr>
          <w:rFonts w:ascii="仿宋" w:hAnsi="仿宋" w:eastAsia="仿宋" w:cs="宋体"/>
          <w:color w:val="auto"/>
          <w:sz w:val="32"/>
          <w:szCs w:val="32"/>
        </w:rPr>
        <w:t>王帅</w:t>
      </w:r>
    </w:p>
    <w:p w14:paraId="2FC3BA74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40"/>
          <w:kern w:val="0"/>
          <w:sz w:val="32"/>
          <w:szCs w:val="32"/>
        </w:rPr>
        <w:t>评审专家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组</w:t>
      </w:r>
    </w:p>
    <w:p w14:paraId="092FFC5C">
      <w:pPr>
        <w:spacing w:line="360" w:lineRule="auto"/>
        <w:ind w:firstLine="960" w:firstLineChars="30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组  长：陈  旺（地质矿产）</w:t>
      </w:r>
    </w:p>
    <w:p w14:paraId="4E130261">
      <w:pPr>
        <w:spacing w:line="360" w:lineRule="auto"/>
        <w:ind w:firstLine="96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160"/>
          <w:kern w:val="0"/>
          <w:sz w:val="32"/>
          <w:szCs w:val="32"/>
        </w:rPr>
        <w:t>成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员</w:t>
      </w:r>
      <w:r>
        <w:rPr>
          <w:rFonts w:hint="eastAsia" w:ascii="仿宋" w:hAnsi="仿宋" w:eastAsia="仿宋"/>
          <w:color w:val="auto"/>
          <w:sz w:val="32"/>
          <w:szCs w:val="32"/>
        </w:rPr>
        <w:t>：宋俊峰（地质矿产） 张娟（水工环）</w:t>
      </w:r>
    </w:p>
    <w:p w14:paraId="15D2F72C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评审方式：</w:t>
      </w:r>
      <w:r>
        <w:rPr>
          <w:rFonts w:hint="eastAsia" w:ascii="仿宋" w:hAnsi="仿宋" w:eastAsia="仿宋"/>
          <w:color w:val="auto"/>
          <w:sz w:val="32"/>
        </w:rPr>
        <w:t>会议评审</w:t>
      </w:r>
    </w:p>
    <w:p w14:paraId="7987C150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年5月20日</w:t>
      </w:r>
    </w:p>
    <w:p w14:paraId="746EE123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评审地点：</w:t>
      </w:r>
      <w:r>
        <w:rPr>
          <w:rFonts w:hint="eastAsia" w:ascii="仿宋" w:hAnsi="仿宋" w:eastAsia="仿宋"/>
          <w:color w:val="auto"/>
          <w:sz w:val="32"/>
        </w:rPr>
        <w:t>呼和浩特市</w:t>
      </w:r>
    </w:p>
    <w:p w14:paraId="32819C98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438F331">
      <w:pPr>
        <w:kinsoku w:val="0"/>
        <w:overflowPunct w:val="0"/>
        <w:spacing w:line="621" w:lineRule="exact"/>
        <w:ind w:left="10" w:leftChars="5" w:firstLine="48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受鄂尔多斯市自然资源局委托,</w:t>
      </w:r>
      <w:r>
        <w:rPr>
          <w:rFonts w:hint="eastAsia" w:cs="仿宋" w:asciiTheme="minorEastAsia" w:hAnsiTheme="minorEastAsia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2026年5月16日受理了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鄂托克旗金瀚源矿业有限责任公司</w:t>
      </w:r>
      <w:r>
        <w:rPr>
          <w:rFonts w:hint="eastAsia" w:ascii="仿宋" w:hAnsi="仿宋" w:eastAsia="仿宋"/>
          <w:color w:val="auto"/>
          <w:sz w:val="32"/>
        </w:rPr>
        <w:t>提交、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内蒙古三维拓普地质勘察设计有限责任公司</w:t>
      </w:r>
      <w:r>
        <w:rPr>
          <w:rFonts w:hint="eastAsia" w:ascii="仿宋" w:hAnsi="仿宋" w:eastAsia="仿宋"/>
          <w:color w:val="auto"/>
          <w:sz w:val="32"/>
        </w:rPr>
        <w:t>编制的《</w:t>
      </w:r>
      <w:r>
        <w:rPr>
          <w:rFonts w:hint="eastAsia" w:ascii="仿宋" w:hAnsi="仿宋" w:eastAsia="仿宋" w:cs="Arial"/>
          <w:snapToGrid w:val="0"/>
          <w:color w:val="auto"/>
          <w:kern w:val="0"/>
          <w:sz w:val="32"/>
          <w:szCs w:val="32"/>
          <w:lang w:eastAsia="en-US"/>
        </w:rPr>
        <w:t>内蒙古自治区鄂托克旗金瀚源矿区8号石灰岩边角资源勘查方案</w:t>
      </w:r>
      <w:r>
        <w:rPr>
          <w:rFonts w:hint="eastAsia" w:ascii="仿宋" w:hAnsi="仿宋" w:eastAsia="仿宋"/>
          <w:color w:val="auto"/>
          <w:sz w:val="32"/>
        </w:rPr>
        <w:t>》（以下简称《方案》）。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依据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，于2026年5月20日在呼和浩特市组织专家对《方案》进行了评审。会后提交单位按专家组意见对《方案》进行了修改完善，于2026年5月26日返回修改稿，经专家组复核后形成仅供矿业权管理使用的评审意见如下：</w:t>
      </w:r>
    </w:p>
    <w:p w14:paraId="0CEA8D8C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一、方案的编制目的</w:t>
      </w:r>
    </w:p>
    <w:p w14:paraId="002E7ED6">
      <w:pPr>
        <w:adjustRightInd w:val="0"/>
        <w:snapToGrid w:val="0"/>
        <w:spacing w:line="560" w:lineRule="exact"/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《方案》编制目的为探矿权首次申请，并初步查明探矿权范围矿产资源。</w:t>
      </w:r>
    </w:p>
    <w:p w14:paraId="5B2CC656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二、勘查区概况</w:t>
      </w:r>
    </w:p>
    <w:p w14:paraId="0FA794C9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（一）探矿权基本情况</w:t>
      </w:r>
    </w:p>
    <w:p w14:paraId="487B5C3F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</w:t>
      </w:r>
      <w:r>
        <w:rPr>
          <w:rFonts w:ascii="仿宋" w:hAnsi="仿宋" w:eastAsia="仿宋"/>
          <w:color w:val="auto"/>
          <w:sz w:val="32"/>
          <w:szCs w:val="32"/>
        </w:rPr>
        <w:t>02</w:t>
      </w:r>
      <w:r>
        <w:rPr>
          <w:rFonts w:hint="eastAsia" w:ascii="仿宋" w:hAnsi="仿宋" w:eastAsia="仿宋"/>
          <w:color w:val="auto"/>
          <w:sz w:val="32"/>
          <w:szCs w:val="32"/>
        </w:rPr>
        <w:t>6年4月20日，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鄂托克旗金瀚源矿业有限责任公司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通过挂牌方式竞得“</w:t>
      </w:r>
      <w:r>
        <w:rPr>
          <w:rFonts w:hint="eastAsia" w:ascii="仿宋" w:hAnsi="仿宋" w:eastAsia="仿宋" w:cs="Arial"/>
          <w:snapToGrid w:val="0"/>
          <w:color w:val="auto"/>
          <w:kern w:val="0"/>
          <w:sz w:val="32"/>
          <w:szCs w:val="32"/>
          <w:lang w:eastAsia="en-US"/>
        </w:rPr>
        <w:t>内蒙古自治区鄂托克旗金瀚源矿区8号石灰岩边角资源勘查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”探矿权（鄂旗自然矿交示字</w:t>
      </w:r>
      <w:r>
        <w:rPr>
          <w:rFonts w:hint="eastAsia" w:ascii="仿宋" w:hAnsi="仿宋" w:eastAsia="仿宋"/>
          <w:color w:val="auto"/>
          <w:sz w:val="32"/>
        </w:rPr>
        <w:t>〔2026〕1号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），</w:t>
      </w:r>
      <w:r>
        <w:rPr>
          <w:rFonts w:hint="eastAsia" w:ascii="仿宋" w:hAnsi="仿宋" w:eastAsia="仿宋"/>
          <w:color w:val="auto"/>
          <w:sz w:val="32"/>
          <w:szCs w:val="32"/>
        </w:rPr>
        <w:t>出让人为鄂托克旗自然资源局，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竞得人为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鄂托克旗金瀚源矿业有限责任公司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勘查项目名称为“</w:t>
      </w:r>
      <w:r>
        <w:rPr>
          <w:rFonts w:hint="eastAsia" w:ascii="仿宋" w:hAnsi="仿宋" w:eastAsia="仿宋" w:cs="Arial"/>
          <w:snapToGrid w:val="0"/>
          <w:color w:val="auto"/>
          <w:kern w:val="0"/>
          <w:sz w:val="32"/>
          <w:szCs w:val="32"/>
          <w:lang w:eastAsia="en-US"/>
        </w:rPr>
        <w:t>内蒙古自治区鄂托克旗金瀚源矿区8号石灰岩边角资源勘查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6578978C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鄂托克旗金瀚源矿业有限责任公司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与</w:t>
      </w:r>
      <w:r>
        <w:rPr>
          <w:rFonts w:hint="eastAsia" w:ascii="仿宋" w:hAnsi="仿宋" w:eastAsia="仿宋"/>
          <w:color w:val="auto"/>
          <w:sz w:val="32"/>
          <w:szCs w:val="32"/>
        </w:rPr>
        <w:t>鄂托克旗自然资源局签订探矿权出让合同，合同编号为</w:t>
      </w:r>
      <w:r>
        <w:rPr>
          <w:rFonts w:ascii="仿宋" w:hAnsi="仿宋" w:eastAsia="仿宋" w:cs="黑体"/>
          <w:color w:val="auto"/>
          <w:sz w:val="32"/>
          <w:szCs w:val="32"/>
        </w:rPr>
        <w:t>T1506242026006</w:t>
      </w:r>
      <w:r>
        <w:rPr>
          <w:rFonts w:ascii="仿宋" w:hAnsi="仿宋" w:eastAsia="仿宋"/>
          <w:color w:val="auto"/>
          <w:sz w:val="32"/>
          <w:szCs w:val="32"/>
        </w:rPr>
        <w:t>，探矿权人为</w:t>
      </w:r>
      <w:r>
        <w:rPr>
          <w:rFonts w:hint="eastAsia" w:ascii="仿宋" w:hAnsi="仿宋" w:eastAsia="仿宋" w:cs="宋体"/>
          <w:color w:val="auto"/>
          <w:sz w:val="32"/>
          <w:szCs w:val="32"/>
          <w:lang w:eastAsia="en-US"/>
        </w:rPr>
        <w:t>鄂托克旗金瀚源矿业有限责任公司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勘查区面积</w:t>
      </w:r>
      <w:r>
        <w:rPr>
          <w:rFonts w:hint="eastAsia" w:ascii="仿宋" w:hAnsi="仿宋" w:eastAsia="仿宋"/>
          <w:color w:val="auto"/>
          <w:sz w:val="32"/>
          <w:szCs w:val="32"/>
        </w:rPr>
        <w:t>0.</w:t>
      </w:r>
      <w:r>
        <w:rPr>
          <w:rFonts w:ascii="仿宋" w:hAnsi="仿宋" w:eastAsia="仿宋"/>
          <w:color w:val="auto"/>
          <w:sz w:val="32"/>
          <w:szCs w:val="32"/>
        </w:rPr>
        <w:t>307 km</w:t>
      </w:r>
      <w:r>
        <w:rPr>
          <w:rFonts w:ascii="仿宋" w:hAnsi="仿宋" w:eastAsia="仿宋"/>
          <w:color w:val="auto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勘查矿种为</w:t>
      </w:r>
      <w:r>
        <w:rPr>
          <w:rFonts w:hint="eastAsia" w:ascii="仿宋" w:hAnsi="仿宋" w:eastAsia="仿宋"/>
          <w:color w:val="auto"/>
          <w:sz w:val="32"/>
          <w:szCs w:val="32"/>
        </w:rPr>
        <w:t>石灰岩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范围由19(出让合同里面实际19个，但是编号写到20，没有6号点）个拐点圈定，探矿权首次登记期限为5年，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有效期限</w:t>
      </w: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日至2031年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7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26B5DE48">
      <w:pPr>
        <w:adjustRightInd w:val="0"/>
        <w:snapToGrid w:val="0"/>
        <w:spacing w:line="560" w:lineRule="exact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（二）勘查区地质情况</w:t>
      </w:r>
    </w:p>
    <w:p w14:paraId="6D2331FF">
      <w:pPr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snapToGrid w:val="0"/>
          <w:color w:val="auto"/>
          <w:kern w:val="0"/>
          <w:sz w:val="32"/>
          <w:szCs w:val="32"/>
        </w:rPr>
        <w:t>勘查区位于</w:t>
      </w:r>
      <w:r>
        <w:rPr>
          <w:rFonts w:ascii="仿宋" w:hAnsi="仿宋" w:eastAsia="仿宋"/>
          <w:color w:val="auto"/>
          <w:sz w:val="32"/>
          <w:szCs w:val="32"/>
        </w:rPr>
        <w:t>华北地台区，鄂尔多斯西缘坳陷桌子山褶断束。古生代地层区划属华北地层大区、晋冀鲁豫地层区、鄂尔多斯地层分区、贺兰山-桌子山地层小区；中新生代地层区划属陕甘宁地层区、鄂尔多斯地层分区。出露地层有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中太古界千里山群、</w:t>
      </w:r>
      <w:r>
        <w:rPr>
          <w:rFonts w:ascii="仿宋" w:hAnsi="仿宋" w:eastAsia="仿宋"/>
          <w:color w:val="auto"/>
          <w:sz w:val="32"/>
          <w:szCs w:val="32"/>
        </w:rPr>
        <w:t>上元古界震旦系西勒图组、古生界寒武系中统馒头组、中统张夏组、奥陶系下统三山子组、马家沟组、克里摩里组、中统拉什仲组，石炭系上统太原组、二叠系中</w:t>
      </w:r>
      <w:r>
        <w:rPr>
          <w:rFonts w:hint="eastAsia" w:ascii="仿宋" w:hAnsi="仿宋" w:eastAsia="仿宋"/>
          <w:color w:val="auto"/>
          <w:sz w:val="32"/>
          <w:szCs w:val="32"/>
        </w:rPr>
        <w:t>下</w:t>
      </w:r>
      <w:r>
        <w:rPr>
          <w:rFonts w:ascii="仿宋" w:hAnsi="仿宋" w:eastAsia="仿宋"/>
          <w:color w:val="auto"/>
          <w:sz w:val="32"/>
          <w:szCs w:val="32"/>
        </w:rPr>
        <w:t>统石盒子组、白垩系下统志丹群及第四系全新统。</w:t>
      </w:r>
    </w:p>
    <w:p w14:paraId="005D03DC">
      <w:pPr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sz w:val="32"/>
          <w:szCs w:val="32"/>
        </w:rPr>
        <w:t>地质构造较简单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区内较大的褶皱构造主要为桌子山背斜南延部分，轴向总体近南北，向北侧倾伏，褶皱核部出露上太古界千里山岩群、新元古界震旦系～青白口系西勒图组、寒武系张夏组及奥陶系马家沟组，褶皱两翼出露地层为寒武系张夏组及奥陶系马家沟组、石炭系太原组、二叠系山西组、石盒子组；西翼地层产状较缓，总体西～南西倾，倾角2°左右，局部受断层破坏呈波浪起状；东翼地层产状较陡，一般为10～45°。</w:t>
      </w:r>
    </w:p>
    <w:p w14:paraId="5F8DD1FD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近南北向构造为主，次为北东向、北西向</w:t>
      </w:r>
      <w:r>
        <w:rPr>
          <w:rFonts w:hint="eastAsia" w:ascii="仿宋" w:hAnsi="仿宋" w:eastAsia="仿宋"/>
          <w:color w:val="auto"/>
          <w:sz w:val="32"/>
          <w:szCs w:val="32"/>
        </w:rPr>
        <w:t>构造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  <w:r>
        <w:rPr>
          <w:rFonts w:ascii="仿宋" w:hAnsi="仿宋" w:eastAsia="仿宋" w:cs="Times New Roman"/>
          <w:color w:val="auto"/>
          <w:sz w:val="32"/>
          <w:szCs w:val="32"/>
        </w:rPr>
        <w:t>区域内岩浆岩不发育。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区域矿产主要有</w:t>
      </w:r>
      <w:r>
        <w:rPr>
          <w:rFonts w:ascii="仿宋" w:hAnsi="仿宋" w:eastAsia="仿宋" w:cs="Times New Roman"/>
          <w:color w:val="auto"/>
          <w:sz w:val="32"/>
          <w:szCs w:val="32"/>
        </w:rPr>
        <w:t>石灰岩、石英砂岩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、</w:t>
      </w:r>
      <w:r>
        <w:rPr>
          <w:rFonts w:ascii="仿宋" w:hAnsi="仿宋" w:eastAsia="仿宋" w:cs="Times New Roman"/>
          <w:color w:val="auto"/>
          <w:sz w:val="32"/>
          <w:szCs w:val="32"/>
        </w:rPr>
        <w:t>煤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、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石英岩、赤铁矿及磁铁矿等。</w:t>
      </w:r>
    </w:p>
    <w:p w14:paraId="12E73B41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1、</w:t>
      </w:r>
      <w:r>
        <w:rPr>
          <w:rFonts w:hint="eastAsia" w:ascii="仿宋" w:hAnsi="仿宋" w:eastAsia="仿宋"/>
          <w:color w:val="auto"/>
          <w:sz w:val="32"/>
          <w:szCs w:val="32"/>
        </w:rPr>
        <w:t>地质特征与成矿条件</w:t>
      </w:r>
    </w:p>
    <w:p w14:paraId="305D0FE4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宋体"/>
          <w:color w:val="auto"/>
          <w:sz w:val="32"/>
          <w:szCs w:val="32"/>
        </w:rPr>
      </w:pPr>
      <w:bookmarkStart w:id="1" w:name="_Toc445892517"/>
      <w:bookmarkStart w:id="2" w:name="_Toc469321705"/>
      <w:bookmarkStart w:id="3" w:name="_Toc524683206"/>
      <w:r>
        <w:rPr>
          <w:rFonts w:hint="eastAsia" w:ascii="仿宋" w:hAnsi="仿宋" w:eastAsia="仿宋" w:cs="宋体"/>
          <w:color w:val="auto"/>
          <w:sz w:val="32"/>
          <w:szCs w:val="32"/>
        </w:rPr>
        <w:t>勘查区出露</w:t>
      </w:r>
      <w:r>
        <w:rPr>
          <w:rFonts w:hint="eastAsia" w:ascii="仿宋" w:hAnsi="仿宋" w:eastAsia="仿宋"/>
          <w:color w:val="auto"/>
          <w:sz w:val="32"/>
          <w:szCs w:val="32"/>
        </w:rPr>
        <w:t>地层</w:t>
      </w:r>
      <w:r>
        <w:rPr>
          <w:rFonts w:ascii="仿宋" w:hAnsi="仿宋" w:eastAsia="仿宋"/>
          <w:color w:val="auto"/>
          <w:sz w:val="32"/>
          <w:szCs w:val="32"/>
        </w:rPr>
        <w:t>主要为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奥陶系下统马家沟组二岩段厚层灰岩，仅在勘查区中西部零星被第四系全新统人工堆积物所覆盖。</w:t>
      </w:r>
      <w:bookmarkEnd w:id="1"/>
      <w:bookmarkEnd w:id="2"/>
      <w:bookmarkEnd w:id="3"/>
      <w:r>
        <w:rPr>
          <w:rFonts w:hint="eastAsia" w:ascii="仿宋" w:hAnsi="仿宋" w:eastAsia="仿宋" w:cs="宋体"/>
          <w:color w:val="auto"/>
          <w:sz w:val="32"/>
          <w:szCs w:val="32"/>
        </w:rPr>
        <w:t>勘查区处于</w:t>
      </w:r>
      <w:r>
        <w:rPr>
          <w:rFonts w:hint="eastAsia" w:ascii="仿宋" w:hAnsi="仿宋" w:eastAsia="仿宋"/>
          <w:color w:val="auto"/>
          <w:sz w:val="32"/>
          <w:szCs w:val="32"/>
        </w:rPr>
        <w:t>桌子山背斜西翼，</w:t>
      </w:r>
      <w:r>
        <w:rPr>
          <w:rFonts w:ascii="仿宋" w:hAnsi="仿宋" w:eastAsia="仿宋" w:cs="Times New Roman"/>
          <w:color w:val="auto"/>
          <w:sz w:val="32"/>
          <w:szCs w:val="32"/>
        </w:rPr>
        <w:t>区内地层总体呈单斜层状产出，近南北向展布，倾向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235～265°</w:t>
      </w:r>
      <w:r>
        <w:rPr>
          <w:rFonts w:ascii="仿宋" w:hAnsi="仿宋" w:eastAsia="仿宋" w:cs="Times New Roman"/>
          <w:color w:val="auto"/>
          <w:sz w:val="32"/>
          <w:szCs w:val="32"/>
        </w:rPr>
        <w:t>，倾角</w:t>
      </w:r>
      <w:r>
        <w:rPr>
          <w:rFonts w:hint="eastAsia" w:ascii="仿宋" w:hAnsi="仿宋" w:eastAsia="仿宋"/>
          <w:color w:val="auto"/>
          <w:sz w:val="32"/>
          <w:szCs w:val="32"/>
        </w:rPr>
        <w:t>2～6</w:t>
      </w:r>
      <w:r>
        <w:rPr>
          <w:rFonts w:ascii="仿宋" w:hAnsi="仿宋" w:eastAsia="仿宋" w:cs="Times New Roman"/>
          <w:color w:val="auto"/>
          <w:sz w:val="32"/>
          <w:szCs w:val="32"/>
        </w:rPr>
        <w:t>°，未发现对岩矿层有较大影响破坏的断裂构造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。勘查区未见</w:t>
      </w:r>
      <w:r>
        <w:rPr>
          <w:rFonts w:ascii="仿宋" w:hAnsi="仿宋" w:eastAsia="仿宋" w:cs="Times New Roman"/>
          <w:color w:val="auto"/>
          <w:sz w:val="32"/>
          <w:szCs w:val="32"/>
        </w:rPr>
        <w:t>岩浆岩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</w:p>
    <w:p w14:paraId="20240A82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2、勘查成果</w:t>
      </w:r>
    </w:p>
    <w:p w14:paraId="589C6B2A">
      <w:pPr>
        <w:spacing w:line="360" w:lineRule="auto"/>
        <w:ind w:firstLine="640" w:firstLineChars="200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勘查区周边金瀚源等采矿权范围的石灰岩矿体延伸至本次8号石灰岩边角资源勘查区，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矿体赋矿层位为马家沟组第二岩段，岩（矿）层空间位置比较稳定，呈中厚层状产出，矿体大部分裸露地表，矿体总体呈单斜近水平产出，走向呈北西-南东向，产状较稳定，矿体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规模不清。</w:t>
      </w:r>
    </w:p>
    <w:p w14:paraId="7F59D23B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三、勘查工作情况</w:t>
      </w:r>
    </w:p>
    <w:p w14:paraId="429EE030">
      <w:pPr>
        <w:spacing w:line="360" w:lineRule="auto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区域成矿地质条件，结合勘查区的地层、构造、岩浆岩及矿化特征，本次《方案》的勘查目标主要为石灰岩矿，兼顾其他矿产资源，勘查目标较明确，勘查矿种选定较合理，符合勘查区的成矿地质条件。主要工作方法为大比例尺地质测量、剖面测量、槽探工程、钻探等工作，认为《方案》确定的勘查方法、手段合理，具有一定的可操作性。工作部署及其工作量安排基本符合勘查区实际情况。勘查区位于鄂托克旗西部，《方案》中对绿色勘查工作方法的选定较为合理，以最大限度的保护自然环境。通过该《方案》的实施，以期实现对石灰岩矿及其他矿产资源的增储，预期地质成果较为合理。设计主要实物工作量见表1。</w:t>
      </w:r>
    </w:p>
    <w:p w14:paraId="4252F503">
      <w:pPr>
        <w:spacing w:line="360" w:lineRule="auto"/>
        <w:ind w:firstLine="576" w:firstLineChars="200"/>
        <w:rPr>
          <w:rFonts w:ascii="仿宋" w:hAnsi="仿宋" w:eastAsia="仿宋" w:cs="宋体"/>
          <w:color w:val="auto"/>
          <w:spacing w:val="-6"/>
          <w:sz w:val="30"/>
          <w:szCs w:val="30"/>
        </w:rPr>
      </w:pPr>
      <w:r>
        <w:rPr>
          <w:rFonts w:hint="eastAsia" w:ascii="仿宋" w:hAnsi="仿宋" w:eastAsia="仿宋" w:cs="宋体"/>
          <w:color w:val="auto"/>
          <w:spacing w:val="-6"/>
          <w:sz w:val="30"/>
          <w:szCs w:val="30"/>
        </w:rPr>
        <w:t>表1          设计主要实物工作量一览表</w:t>
      </w:r>
    </w:p>
    <w:tbl>
      <w:tblPr>
        <w:tblStyle w:val="9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09"/>
        <w:gridCol w:w="2618"/>
        <w:gridCol w:w="2410"/>
        <w:gridCol w:w="992"/>
        <w:gridCol w:w="1417"/>
      </w:tblGrid>
      <w:tr w14:paraId="0D30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34" w:type="dxa"/>
            <w:vAlign w:val="center"/>
          </w:tcPr>
          <w:p w14:paraId="307C7B4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序号</w:t>
            </w:r>
          </w:p>
        </w:tc>
        <w:tc>
          <w:tcPr>
            <w:tcW w:w="1209" w:type="dxa"/>
            <w:vAlign w:val="center"/>
          </w:tcPr>
          <w:p w14:paraId="4C525A4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工作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手段</w:t>
            </w:r>
          </w:p>
        </w:tc>
        <w:tc>
          <w:tcPr>
            <w:tcW w:w="2618" w:type="dxa"/>
            <w:vAlign w:val="center"/>
          </w:tcPr>
          <w:p w14:paraId="72CFE09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工作内容</w:t>
            </w:r>
          </w:p>
        </w:tc>
        <w:tc>
          <w:tcPr>
            <w:tcW w:w="2410" w:type="dxa"/>
            <w:vAlign w:val="center"/>
          </w:tcPr>
          <w:p w14:paraId="70EF7ED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技术要求</w:t>
            </w:r>
          </w:p>
        </w:tc>
        <w:tc>
          <w:tcPr>
            <w:tcW w:w="992" w:type="dxa"/>
            <w:vAlign w:val="center"/>
          </w:tcPr>
          <w:p w14:paraId="0F52E0F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单位</w:t>
            </w:r>
          </w:p>
        </w:tc>
        <w:tc>
          <w:tcPr>
            <w:tcW w:w="1417" w:type="dxa"/>
            <w:vAlign w:val="center"/>
          </w:tcPr>
          <w:p w14:paraId="32F3C68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工程量</w:t>
            </w:r>
          </w:p>
        </w:tc>
      </w:tr>
      <w:tr w14:paraId="1669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34" w:type="dxa"/>
            <w:vMerge w:val="restart"/>
            <w:vAlign w:val="center"/>
          </w:tcPr>
          <w:p w14:paraId="31A9DAD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</w:t>
            </w:r>
          </w:p>
        </w:tc>
        <w:tc>
          <w:tcPr>
            <w:tcW w:w="1209" w:type="dxa"/>
            <w:vMerge w:val="restart"/>
            <w:vAlign w:val="center"/>
          </w:tcPr>
          <w:p w14:paraId="2498297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测量</w:t>
            </w:r>
          </w:p>
        </w:tc>
        <w:tc>
          <w:tcPr>
            <w:tcW w:w="2618" w:type="dxa"/>
            <w:vAlign w:val="center"/>
          </w:tcPr>
          <w:p w14:paraId="3672EB6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工程点测量</w:t>
            </w:r>
          </w:p>
        </w:tc>
        <w:tc>
          <w:tcPr>
            <w:tcW w:w="2410" w:type="dxa"/>
            <w:vMerge w:val="restart"/>
            <w:vAlign w:val="center"/>
          </w:tcPr>
          <w:p w14:paraId="2E7F73FB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符合《地质矿产勘查测量规范》（DZ/T18341-2021）技术要求</w:t>
            </w:r>
          </w:p>
        </w:tc>
        <w:tc>
          <w:tcPr>
            <w:tcW w:w="992" w:type="dxa"/>
            <w:vAlign w:val="center"/>
          </w:tcPr>
          <w:p w14:paraId="55044BC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点</w:t>
            </w:r>
          </w:p>
        </w:tc>
        <w:tc>
          <w:tcPr>
            <w:tcW w:w="1417" w:type="dxa"/>
            <w:vAlign w:val="center"/>
          </w:tcPr>
          <w:p w14:paraId="72734F7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3～5</w:t>
            </w:r>
          </w:p>
        </w:tc>
      </w:tr>
      <w:tr w14:paraId="41F61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Merge w:val="continue"/>
            <w:vAlign w:val="center"/>
          </w:tcPr>
          <w:p w14:paraId="6085448A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61DA152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5B5CC37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1:2千地形测量</w:t>
            </w:r>
          </w:p>
        </w:tc>
        <w:tc>
          <w:tcPr>
            <w:tcW w:w="2410" w:type="dxa"/>
            <w:vMerge w:val="continue"/>
            <w:vAlign w:val="center"/>
          </w:tcPr>
          <w:p w14:paraId="56D665FA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AA2CDF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70FC3946">
            <w:pPr>
              <w:adjustRightInd w:val="0"/>
              <w:snapToGrid w:val="0"/>
              <w:spacing w:line="240" w:lineRule="atLeast"/>
              <w:jc w:val="center"/>
              <w:rPr>
                <w:rFonts w:eastAsia="宋体" w:asciiTheme="minorEastAsia" w:hAnsiTheme="minorEastAsia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0.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307</w:t>
            </w:r>
          </w:p>
        </w:tc>
      </w:tr>
      <w:tr w14:paraId="5CD8D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restart"/>
            <w:vAlign w:val="center"/>
          </w:tcPr>
          <w:p w14:paraId="68468C2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</w:t>
            </w:r>
          </w:p>
        </w:tc>
        <w:tc>
          <w:tcPr>
            <w:tcW w:w="1209" w:type="dxa"/>
            <w:vMerge w:val="restart"/>
            <w:vAlign w:val="center"/>
          </w:tcPr>
          <w:p w14:paraId="0FD87AD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618" w:type="dxa"/>
            <w:vAlign w:val="center"/>
          </w:tcPr>
          <w:p w14:paraId="5F68165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hint="eastAsia" w:ascii="宋体" w:hAnsi="宋体"/>
                <w:color w:val="auto"/>
                <w:sz w:val="24"/>
              </w:rPr>
              <w:t>地质</w:t>
            </w:r>
            <w:r>
              <w:rPr>
                <w:rFonts w:ascii="宋体" w:hAnsi="宋体"/>
                <w:color w:val="auto"/>
                <w:sz w:val="24"/>
              </w:rPr>
              <w:t>测量</w:t>
            </w:r>
          </w:p>
        </w:tc>
        <w:tc>
          <w:tcPr>
            <w:tcW w:w="2410" w:type="dxa"/>
          </w:tcPr>
          <w:p w14:paraId="3157C358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《固体矿产勘查工作规范》（GB/T 33444-2016）</w:t>
            </w:r>
          </w:p>
        </w:tc>
        <w:tc>
          <w:tcPr>
            <w:tcW w:w="992" w:type="dxa"/>
            <w:vAlign w:val="center"/>
          </w:tcPr>
          <w:p w14:paraId="718787C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0EB8CDA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0.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307</w:t>
            </w:r>
          </w:p>
        </w:tc>
      </w:tr>
      <w:tr w14:paraId="15C4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continue"/>
            <w:vAlign w:val="center"/>
          </w:tcPr>
          <w:p w14:paraId="7A48F07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0FAF850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57BCA38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ascii="宋体" w:hAnsi="宋体"/>
                <w:color w:val="auto"/>
                <w:sz w:val="24"/>
              </w:rPr>
              <w:t>专项水</w:t>
            </w:r>
            <w:r>
              <w:rPr>
                <w:rFonts w:hint="eastAsia" w:ascii="宋体" w:hAnsi="宋体"/>
                <w:color w:val="auto"/>
                <w:sz w:val="24"/>
              </w:rPr>
              <w:t>文工程环境</w:t>
            </w:r>
            <w:r>
              <w:rPr>
                <w:rFonts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410" w:type="dxa"/>
          </w:tcPr>
          <w:p w14:paraId="5A19B70A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符合《矿区水文地质工程地质勘查规范》（DZ/T12719-2021）技术要求</w:t>
            </w:r>
          </w:p>
        </w:tc>
        <w:tc>
          <w:tcPr>
            <w:tcW w:w="992" w:type="dxa"/>
            <w:vAlign w:val="center"/>
          </w:tcPr>
          <w:p w14:paraId="54F4433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11692D3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0.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307</w:t>
            </w:r>
          </w:p>
        </w:tc>
      </w:tr>
      <w:tr w14:paraId="356FE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Align w:val="center"/>
          </w:tcPr>
          <w:p w14:paraId="67F6929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</w:t>
            </w:r>
          </w:p>
        </w:tc>
        <w:tc>
          <w:tcPr>
            <w:tcW w:w="1209" w:type="dxa"/>
            <w:vAlign w:val="center"/>
          </w:tcPr>
          <w:p w14:paraId="3EFFA3D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浅表工程</w:t>
            </w:r>
          </w:p>
        </w:tc>
        <w:tc>
          <w:tcPr>
            <w:tcW w:w="2618" w:type="dxa"/>
            <w:vAlign w:val="center"/>
          </w:tcPr>
          <w:p w14:paraId="720CA8D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槽探工程</w:t>
            </w:r>
          </w:p>
        </w:tc>
        <w:tc>
          <w:tcPr>
            <w:tcW w:w="2410" w:type="dxa"/>
          </w:tcPr>
          <w:p w14:paraId="54EC293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槽底宽度不小于0.8m，挖掘至基岩以下0.3～0.5m，深度不大于3m。</w:t>
            </w:r>
          </w:p>
        </w:tc>
        <w:tc>
          <w:tcPr>
            <w:tcW w:w="992" w:type="dxa"/>
            <w:vAlign w:val="center"/>
          </w:tcPr>
          <w:p w14:paraId="5CF71C9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14:paraId="33C009D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100～200</w:t>
            </w:r>
          </w:p>
        </w:tc>
      </w:tr>
      <w:tr w14:paraId="28B3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34" w:type="dxa"/>
            <w:vAlign w:val="center"/>
          </w:tcPr>
          <w:p w14:paraId="7317D06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4</w:t>
            </w:r>
          </w:p>
        </w:tc>
        <w:tc>
          <w:tcPr>
            <w:tcW w:w="1209" w:type="dxa"/>
            <w:vAlign w:val="center"/>
          </w:tcPr>
          <w:p w14:paraId="76399FC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钻探</w:t>
            </w:r>
          </w:p>
        </w:tc>
        <w:tc>
          <w:tcPr>
            <w:tcW w:w="2618" w:type="dxa"/>
            <w:vAlign w:val="center"/>
          </w:tcPr>
          <w:p w14:paraId="41FB11E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机械岩心钻探</w:t>
            </w:r>
            <w:r>
              <w:rPr>
                <w:rFonts w:hint="eastAsia" w:ascii="宋体" w:hAnsi="宋体"/>
                <w:color w:val="auto"/>
                <w:sz w:val="24"/>
              </w:rPr>
              <w:t>（含</w:t>
            </w:r>
            <w:r>
              <w:rPr>
                <w:rFonts w:ascii="宋体" w:hAnsi="宋体"/>
                <w:color w:val="auto"/>
                <w:sz w:val="24"/>
              </w:rPr>
              <w:t>水文</w:t>
            </w:r>
            <w:r>
              <w:rPr>
                <w:rFonts w:hint="eastAsia" w:ascii="宋体" w:hAnsi="宋体"/>
                <w:color w:val="auto"/>
                <w:sz w:val="24"/>
              </w:rPr>
              <w:t>工程地质</w:t>
            </w:r>
            <w:r>
              <w:rPr>
                <w:rFonts w:ascii="宋体" w:hAnsi="宋体"/>
                <w:color w:val="auto"/>
                <w:sz w:val="24"/>
              </w:rPr>
              <w:t>钻探</w:t>
            </w:r>
            <w:r>
              <w:rPr>
                <w:rFonts w:hint="eastAsia" w:ascii="宋体" w:hAnsi="宋体"/>
                <w:color w:val="auto"/>
                <w:sz w:val="24"/>
              </w:rPr>
              <w:t>）</w:t>
            </w:r>
          </w:p>
        </w:tc>
        <w:tc>
          <w:tcPr>
            <w:tcW w:w="2410" w:type="dxa"/>
          </w:tcPr>
          <w:p w14:paraId="25B5084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符合《固体矿产勘查钻孔质量要求》（DZ/T 0486-2024）技术要求</w:t>
            </w:r>
          </w:p>
        </w:tc>
        <w:tc>
          <w:tcPr>
            <w:tcW w:w="992" w:type="dxa"/>
            <w:vAlign w:val="center"/>
          </w:tcPr>
          <w:p w14:paraId="294731C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</w:p>
        </w:tc>
        <w:tc>
          <w:tcPr>
            <w:tcW w:w="1417" w:type="dxa"/>
            <w:vAlign w:val="center"/>
          </w:tcPr>
          <w:p w14:paraId="5A2DB90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300～800</w:t>
            </w:r>
          </w:p>
        </w:tc>
      </w:tr>
    </w:tbl>
    <w:p w14:paraId="6657D80C">
      <w:pPr>
        <w:adjustRightInd w:val="0"/>
        <w:snapToGrid w:val="0"/>
        <w:spacing w:line="560" w:lineRule="exact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四、保障措施</w:t>
      </w:r>
    </w:p>
    <w:p w14:paraId="681DA46C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《方案》中专业技术人员分工符合野外实际生产，满足生产要求；技术质量保障措施严格按照三级质量检查标准进行执行，保证了各项工作技术满足质量技术要求；安全生产保障措施制定的较为细致合理，可保障野外安全生产。</w:t>
      </w:r>
    </w:p>
    <w:p w14:paraId="1692F291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五、说明与建议</w:t>
      </w:r>
    </w:p>
    <w:p w14:paraId="697A181D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勘查区位于鄂托克旗西部，生态环境较为脆弱，在勘查的过程中要保护自然环境，严格按照《绿色地质勘查工作规范》（DZ/T 0374-2021）、《绿色勘查技术规程》（DB15/T 3393-2024）和《绿色勘查指南》（T/CMAS 0001-2018）中的各项规范要求进行。钻探施工完成后，要及时修复施工场地，最大限度减少对生态环境的负面影响，妥善处理废弃物，及时进行场地平整和土地复垦，撒播适合当地的草籽。对岩心要及时搬运入库，最大限度的减少对环境的扰动。</w:t>
      </w:r>
    </w:p>
    <w:p w14:paraId="0F808CA8"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当地人口较为稀少，劳动力资源较匮乏，居民以蒙古族为主，其次有汉族等，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要尊重当地民族习惯，做到和谐勘查。</w:t>
      </w:r>
    </w:p>
    <w:p w14:paraId="31183D50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六、结论</w:t>
      </w:r>
    </w:p>
    <w:p w14:paraId="6F66BF22">
      <w:pPr>
        <w:tabs>
          <w:tab w:val="left" w:pos="312"/>
        </w:tabs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该《方案》编制依据充分，内容齐全，目标明确，任务具体，勘查方法和手段与技术路线可行，工作部署符合相关要求，专家组同意通过评审。</w:t>
      </w:r>
    </w:p>
    <w:p w14:paraId="55DE47A7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</w:p>
    <w:p w14:paraId="5614AB66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专家组</w:t>
      </w:r>
      <w:r>
        <w:rPr>
          <w:rFonts w:ascii="仿宋" w:hAnsi="仿宋" w:eastAsia="仿宋"/>
          <w:color w:val="auto"/>
          <w:sz w:val="32"/>
          <w:szCs w:val="32"/>
        </w:rPr>
        <w:t>组长：</w:t>
      </w:r>
      <w:r>
        <w:rPr>
          <w:rFonts w:hint="eastAsia" w:ascii="仿宋" w:hAnsi="仿宋" w:eastAsia="仿宋"/>
          <w:color w:val="auto"/>
          <w:sz w:val="32"/>
          <w:szCs w:val="32"/>
        </w:rPr>
        <w:t>陈旺</w:t>
      </w:r>
    </w:p>
    <w:p w14:paraId="6ABD1571">
      <w:pPr>
        <w:tabs>
          <w:tab w:val="left" w:pos="312"/>
        </w:tabs>
        <w:adjustRightInd w:val="0"/>
        <w:snapToGrid w:val="0"/>
        <w:spacing w:line="560" w:lineRule="exact"/>
        <w:ind w:left="4788" w:leftChars="228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173AFCF0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548BD800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20E3AAC4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2770420E">
      <w:pPr>
        <w:spacing w:before="312" w:beforeLines="100" w:after="312" w:afterLines="100" w:line="480" w:lineRule="exac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附：《</w:t>
      </w:r>
      <w:r>
        <w:rPr>
          <w:rFonts w:hint="eastAsia" w:ascii="仿宋" w:hAnsi="仿宋" w:eastAsia="仿宋" w:cs="Arial"/>
          <w:snapToGrid w:val="0"/>
          <w:color w:val="auto"/>
          <w:kern w:val="0"/>
          <w:sz w:val="32"/>
          <w:szCs w:val="32"/>
          <w:lang w:eastAsia="en-US"/>
        </w:rPr>
        <w:t>内蒙古自治区鄂托克旗金瀚源矿区8号石灰岩边角资源勘查方案</w:t>
      </w:r>
      <w:r>
        <w:rPr>
          <w:rFonts w:hint="eastAsia" w:ascii="仿宋" w:hAnsi="仿宋" w:eastAsia="仿宋"/>
          <w:color w:val="auto"/>
          <w:sz w:val="32"/>
          <w:szCs w:val="32"/>
        </w:rPr>
        <w:t>》评审专家组人员名单</w:t>
      </w:r>
    </w:p>
    <w:p w14:paraId="55E8FEE7">
      <w:pPr>
        <w:spacing w:before="312" w:beforeLines="100" w:after="312" w:afterLines="100" w:line="480" w:lineRule="exact"/>
        <w:rPr>
          <w:rFonts w:ascii="仿宋" w:hAnsi="仿宋" w:eastAsia="仿宋"/>
          <w:color w:val="auto"/>
          <w:sz w:val="32"/>
          <w:szCs w:val="32"/>
        </w:rPr>
      </w:pPr>
    </w:p>
    <w:p w14:paraId="628E6097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5836AAF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10B7CC2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1610" cy="4483100"/>
            <wp:effectExtent l="0" t="0" r="15240" b="12700"/>
            <wp:docPr id="1" name="图片 1" descr="微信图片_20260602130417_170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02130417_170_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0" w:type="default"/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8223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BD32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F3349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5A1B1"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069"/>
    </w:sdtPr>
    <w:sdtContent>
      <w:p w14:paraId="17D9D942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40E5912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16139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9EB63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A4C47">
    <w:pPr>
      <w:pStyle w:val="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C2EA3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B7"/>
    <w:rsid w:val="00002DE5"/>
    <w:rsid w:val="00006DE1"/>
    <w:rsid w:val="000248EE"/>
    <w:rsid w:val="0003179A"/>
    <w:rsid w:val="000376DB"/>
    <w:rsid w:val="00041ED8"/>
    <w:rsid w:val="00042D99"/>
    <w:rsid w:val="00055FEF"/>
    <w:rsid w:val="00064817"/>
    <w:rsid w:val="00073FA4"/>
    <w:rsid w:val="0007727E"/>
    <w:rsid w:val="000A128F"/>
    <w:rsid w:val="000A4FFF"/>
    <w:rsid w:val="000A7656"/>
    <w:rsid w:val="000B28E3"/>
    <w:rsid w:val="000B6422"/>
    <w:rsid w:val="000D2BF9"/>
    <w:rsid w:val="000D68BB"/>
    <w:rsid w:val="000F7A4F"/>
    <w:rsid w:val="00103FAB"/>
    <w:rsid w:val="00127134"/>
    <w:rsid w:val="00144042"/>
    <w:rsid w:val="00144883"/>
    <w:rsid w:val="00144F60"/>
    <w:rsid w:val="00147FCC"/>
    <w:rsid w:val="001507CC"/>
    <w:rsid w:val="001578FD"/>
    <w:rsid w:val="00170BCC"/>
    <w:rsid w:val="00175174"/>
    <w:rsid w:val="001851AF"/>
    <w:rsid w:val="00185CA6"/>
    <w:rsid w:val="001C0E46"/>
    <w:rsid w:val="001C6FE2"/>
    <w:rsid w:val="001C72E7"/>
    <w:rsid w:val="001D43FE"/>
    <w:rsid w:val="00212EA4"/>
    <w:rsid w:val="00212F6A"/>
    <w:rsid w:val="00241B55"/>
    <w:rsid w:val="00257679"/>
    <w:rsid w:val="00270ED6"/>
    <w:rsid w:val="00296339"/>
    <w:rsid w:val="002A1101"/>
    <w:rsid w:val="002A4126"/>
    <w:rsid w:val="002B5935"/>
    <w:rsid w:val="002C4EA6"/>
    <w:rsid w:val="002D30A3"/>
    <w:rsid w:val="0031213C"/>
    <w:rsid w:val="0032099F"/>
    <w:rsid w:val="003418AE"/>
    <w:rsid w:val="00353E81"/>
    <w:rsid w:val="0036209E"/>
    <w:rsid w:val="00364E22"/>
    <w:rsid w:val="00367623"/>
    <w:rsid w:val="00370F58"/>
    <w:rsid w:val="0038106B"/>
    <w:rsid w:val="00392CAC"/>
    <w:rsid w:val="0039407A"/>
    <w:rsid w:val="003A5BB3"/>
    <w:rsid w:val="003B13F0"/>
    <w:rsid w:val="003B1AE9"/>
    <w:rsid w:val="003B6CB3"/>
    <w:rsid w:val="003C4EEF"/>
    <w:rsid w:val="003D4786"/>
    <w:rsid w:val="003D53CB"/>
    <w:rsid w:val="003D6AB5"/>
    <w:rsid w:val="003E7381"/>
    <w:rsid w:val="004064C9"/>
    <w:rsid w:val="00407D14"/>
    <w:rsid w:val="0041688A"/>
    <w:rsid w:val="00426E32"/>
    <w:rsid w:val="00436661"/>
    <w:rsid w:val="00440728"/>
    <w:rsid w:val="00447148"/>
    <w:rsid w:val="004566B7"/>
    <w:rsid w:val="00462E2E"/>
    <w:rsid w:val="0047144A"/>
    <w:rsid w:val="004718C9"/>
    <w:rsid w:val="004723F1"/>
    <w:rsid w:val="00484578"/>
    <w:rsid w:val="00485734"/>
    <w:rsid w:val="004865CA"/>
    <w:rsid w:val="0049447B"/>
    <w:rsid w:val="004975F2"/>
    <w:rsid w:val="004B5AAC"/>
    <w:rsid w:val="004C2D57"/>
    <w:rsid w:val="004D5F13"/>
    <w:rsid w:val="004D7F46"/>
    <w:rsid w:val="004E07AB"/>
    <w:rsid w:val="004E5F16"/>
    <w:rsid w:val="004F23D7"/>
    <w:rsid w:val="004F44C6"/>
    <w:rsid w:val="005137F0"/>
    <w:rsid w:val="00526048"/>
    <w:rsid w:val="00530EF0"/>
    <w:rsid w:val="0053655D"/>
    <w:rsid w:val="005402AB"/>
    <w:rsid w:val="00540CB0"/>
    <w:rsid w:val="00541528"/>
    <w:rsid w:val="0054220C"/>
    <w:rsid w:val="00566685"/>
    <w:rsid w:val="0057781B"/>
    <w:rsid w:val="00584ED3"/>
    <w:rsid w:val="00586631"/>
    <w:rsid w:val="00586F8A"/>
    <w:rsid w:val="00595985"/>
    <w:rsid w:val="005A0D10"/>
    <w:rsid w:val="005A39CB"/>
    <w:rsid w:val="005A74F2"/>
    <w:rsid w:val="005B7FD6"/>
    <w:rsid w:val="005C290B"/>
    <w:rsid w:val="005D0D1F"/>
    <w:rsid w:val="005D2018"/>
    <w:rsid w:val="005D36A0"/>
    <w:rsid w:val="005F34C9"/>
    <w:rsid w:val="00610923"/>
    <w:rsid w:val="0063102A"/>
    <w:rsid w:val="006345D5"/>
    <w:rsid w:val="006403F0"/>
    <w:rsid w:val="0064458C"/>
    <w:rsid w:val="006455A9"/>
    <w:rsid w:val="00645A5B"/>
    <w:rsid w:val="006739D9"/>
    <w:rsid w:val="0067439E"/>
    <w:rsid w:val="00677631"/>
    <w:rsid w:val="00680F8C"/>
    <w:rsid w:val="00681B9C"/>
    <w:rsid w:val="0068246F"/>
    <w:rsid w:val="006846F3"/>
    <w:rsid w:val="00690B86"/>
    <w:rsid w:val="00695541"/>
    <w:rsid w:val="006A7AA1"/>
    <w:rsid w:val="006C06F5"/>
    <w:rsid w:val="00723684"/>
    <w:rsid w:val="00725454"/>
    <w:rsid w:val="00734653"/>
    <w:rsid w:val="0074501A"/>
    <w:rsid w:val="00757DF3"/>
    <w:rsid w:val="00765829"/>
    <w:rsid w:val="0077770E"/>
    <w:rsid w:val="00787416"/>
    <w:rsid w:val="007A7D89"/>
    <w:rsid w:val="007C0B6A"/>
    <w:rsid w:val="007C2A47"/>
    <w:rsid w:val="007C7AFD"/>
    <w:rsid w:val="007D0ECD"/>
    <w:rsid w:val="007D3B77"/>
    <w:rsid w:val="007D6AA8"/>
    <w:rsid w:val="007E0989"/>
    <w:rsid w:val="007F1633"/>
    <w:rsid w:val="00804CBD"/>
    <w:rsid w:val="00821836"/>
    <w:rsid w:val="00833858"/>
    <w:rsid w:val="00842BE6"/>
    <w:rsid w:val="0084478E"/>
    <w:rsid w:val="008449CC"/>
    <w:rsid w:val="00870CED"/>
    <w:rsid w:val="008843E0"/>
    <w:rsid w:val="00887E3B"/>
    <w:rsid w:val="0089495E"/>
    <w:rsid w:val="00896049"/>
    <w:rsid w:val="00897399"/>
    <w:rsid w:val="0089747E"/>
    <w:rsid w:val="008A1EAF"/>
    <w:rsid w:val="008A50A5"/>
    <w:rsid w:val="008A541C"/>
    <w:rsid w:val="008A7771"/>
    <w:rsid w:val="008C308B"/>
    <w:rsid w:val="008E083F"/>
    <w:rsid w:val="008E2961"/>
    <w:rsid w:val="008F193D"/>
    <w:rsid w:val="009039B5"/>
    <w:rsid w:val="00912334"/>
    <w:rsid w:val="00923060"/>
    <w:rsid w:val="009272E3"/>
    <w:rsid w:val="00933C8D"/>
    <w:rsid w:val="009353BC"/>
    <w:rsid w:val="00945036"/>
    <w:rsid w:val="00956F62"/>
    <w:rsid w:val="009B44F6"/>
    <w:rsid w:val="009B6E59"/>
    <w:rsid w:val="009C205E"/>
    <w:rsid w:val="009C2EA1"/>
    <w:rsid w:val="009C7F52"/>
    <w:rsid w:val="009D2508"/>
    <w:rsid w:val="009D2903"/>
    <w:rsid w:val="009E3565"/>
    <w:rsid w:val="009E3809"/>
    <w:rsid w:val="009E3C03"/>
    <w:rsid w:val="00A0590A"/>
    <w:rsid w:val="00A208C0"/>
    <w:rsid w:val="00A30937"/>
    <w:rsid w:val="00A51E4C"/>
    <w:rsid w:val="00A5539C"/>
    <w:rsid w:val="00A63CCD"/>
    <w:rsid w:val="00A74BB0"/>
    <w:rsid w:val="00A74C21"/>
    <w:rsid w:val="00A86365"/>
    <w:rsid w:val="00A8724D"/>
    <w:rsid w:val="00A91EB3"/>
    <w:rsid w:val="00A9277F"/>
    <w:rsid w:val="00AB05D1"/>
    <w:rsid w:val="00AB2CD4"/>
    <w:rsid w:val="00AB4F40"/>
    <w:rsid w:val="00AB5626"/>
    <w:rsid w:val="00AB769E"/>
    <w:rsid w:val="00AC0D5F"/>
    <w:rsid w:val="00AD1F19"/>
    <w:rsid w:val="00AD445E"/>
    <w:rsid w:val="00AE388A"/>
    <w:rsid w:val="00AE4738"/>
    <w:rsid w:val="00AF6C78"/>
    <w:rsid w:val="00B01DE5"/>
    <w:rsid w:val="00B33F4E"/>
    <w:rsid w:val="00B35D3A"/>
    <w:rsid w:val="00B44244"/>
    <w:rsid w:val="00B506CD"/>
    <w:rsid w:val="00B67F9A"/>
    <w:rsid w:val="00B72C25"/>
    <w:rsid w:val="00B95EFF"/>
    <w:rsid w:val="00BA3CBD"/>
    <w:rsid w:val="00BB6E04"/>
    <w:rsid w:val="00BC1660"/>
    <w:rsid w:val="00BC27B7"/>
    <w:rsid w:val="00BC4159"/>
    <w:rsid w:val="00BC41A2"/>
    <w:rsid w:val="00BC5294"/>
    <w:rsid w:val="00BE3492"/>
    <w:rsid w:val="00BF0BD7"/>
    <w:rsid w:val="00BF3650"/>
    <w:rsid w:val="00BF5136"/>
    <w:rsid w:val="00C117DA"/>
    <w:rsid w:val="00C41E44"/>
    <w:rsid w:val="00C43016"/>
    <w:rsid w:val="00C435F9"/>
    <w:rsid w:val="00C4364A"/>
    <w:rsid w:val="00C470F6"/>
    <w:rsid w:val="00C51520"/>
    <w:rsid w:val="00C601E0"/>
    <w:rsid w:val="00C921F2"/>
    <w:rsid w:val="00CA1B27"/>
    <w:rsid w:val="00CA4407"/>
    <w:rsid w:val="00CA46FC"/>
    <w:rsid w:val="00CC2AF6"/>
    <w:rsid w:val="00CD4A3D"/>
    <w:rsid w:val="00CE21DF"/>
    <w:rsid w:val="00CE3866"/>
    <w:rsid w:val="00CE486B"/>
    <w:rsid w:val="00CE5135"/>
    <w:rsid w:val="00CF4BE4"/>
    <w:rsid w:val="00D0096A"/>
    <w:rsid w:val="00D0326B"/>
    <w:rsid w:val="00D102DC"/>
    <w:rsid w:val="00D10511"/>
    <w:rsid w:val="00D13852"/>
    <w:rsid w:val="00D13FE0"/>
    <w:rsid w:val="00D16148"/>
    <w:rsid w:val="00D22EC2"/>
    <w:rsid w:val="00D23A28"/>
    <w:rsid w:val="00D438C3"/>
    <w:rsid w:val="00D44FC8"/>
    <w:rsid w:val="00D45488"/>
    <w:rsid w:val="00D50420"/>
    <w:rsid w:val="00D60F64"/>
    <w:rsid w:val="00D80390"/>
    <w:rsid w:val="00D80B6C"/>
    <w:rsid w:val="00D85D80"/>
    <w:rsid w:val="00DA2D2F"/>
    <w:rsid w:val="00DA6806"/>
    <w:rsid w:val="00DA6ED9"/>
    <w:rsid w:val="00DB4EF6"/>
    <w:rsid w:val="00DD439A"/>
    <w:rsid w:val="00DE0456"/>
    <w:rsid w:val="00DE53DE"/>
    <w:rsid w:val="00DF6CC1"/>
    <w:rsid w:val="00E17653"/>
    <w:rsid w:val="00E213BA"/>
    <w:rsid w:val="00E26420"/>
    <w:rsid w:val="00E267D7"/>
    <w:rsid w:val="00E3690C"/>
    <w:rsid w:val="00E500C9"/>
    <w:rsid w:val="00E505DB"/>
    <w:rsid w:val="00E51998"/>
    <w:rsid w:val="00E51CA3"/>
    <w:rsid w:val="00E528E4"/>
    <w:rsid w:val="00E633B7"/>
    <w:rsid w:val="00E723D4"/>
    <w:rsid w:val="00E87100"/>
    <w:rsid w:val="00EA2FA9"/>
    <w:rsid w:val="00EB0402"/>
    <w:rsid w:val="00EB12E2"/>
    <w:rsid w:val="00EB25B1"/>
    <w:rsid w:val="00EB4143"/>
    <w:rsid w:val="00EB54D2"/>
    <w:rsid w:val="00EB5E4E"/>
    <w:rsid w:val="00EB66E3"/>
    <w:rsid w:val="00EB672C"/>
    <w:rsid w:val="00EB6AD6"/>
    <w:rsid w:val="00ED1F39"/>
    <w:rsid w:val="00ED2E71"/>
    <w:rsid w:val="00ED71EA"/>
    <w:rsid w:val="00EE3B0B"/>
    <w:rsid w:val="00EE530C"/>
    <w:rsid w:val="00EF0FB7"/>
    <w:rsid w:val="00EF725D"/>
    <w:rsid w:val="00F00410"/>
    <w:rsid w:val="00F07BCF"/>
    <w:rsid w:val="00F138DD"/>
    <w:rsid w:val="00F21FE5"/>
    <w:rsid w:val="00F3030B"/>
    <w:rsid w:val="00F519EF"/>
    <w:rsid w:val="00F570B6"/>
    <w:rsid w:val="00F626BE"/>
    <w:rsid w:val="00F70017"/>
    <w:rsid w:val="00F81AD5"/>
    <w:rsid w:val="00F8545A"/>
    <w:rsid w:val="00F9317F"/>
    <w:rsid w:val="00F95961"/>
    <w:rsid w:val="00F95ED4"/>
    <w:rsid w:val="00FA57C5"/>
    <w:rsid w:val="00FA7710"/>
    <w:rsid w:val="00FB06DA"/>
    <w:rsid w:val="00FB2298"/>
    <w:rsid w:val="00FC5987"/>
    <w:rsid w:val="00FC6BDA"/>
    <w:rsid w:val="00FC7E55"/>
    <w:rsid w:val="00FF0324"/>
    <w:rsid w:val="00FF2A04"/>
    <w:rsid w:val="00FF36DC"/>
    <w:rsid w:val="00FF7202"/>
    <w:rsid w:val="04472DF8"/>
    <w:rsid w:val="04583A5F"/>
    <w:rsid w:val="0579488D"/>
    <w:rsid w:val="07404420"/>
    <w:rsid w:val="09434CDD"/>
    <w:rsid w:val="0A815C0F"/>
    <w:rsid w:val="0C875046"/>
    <w:rsid w:val="0E2F35B9"/>
    <w:rsid w:val="10AB61E2"/>
    <w:rsid w:val="12E532FC"/>
    <w:rsid w:val="1356650A"/>
    <w:rsid w:val="14D0319D"/>
    <w:rsid w:val="155408B6"/>
    <w:rsid w:val="17A2707A"/>
    <w:rsid w:val="1816671D"/>
    <w:rsid w:val="18333A39"/>
    <w:rsid w:val="19281704"/>
    <w:rsid w:val="1A830564"/>
    <w:rsid w:val="1B9E2BD2"/>
    <w:rsid w:val="1FC81540"/>
    <w:rsid w:val="206D5762"/>
    <w:rsid w:val="21BC3059"/>
    <w:rsid w:val="225A6975"/>
    <w:rsid w:val="23356F24"/>
    <w:rsid w:val="25C213F0"/>
    <w:rsid w:val="26526108"/>
    <w:rsid w:val="2D1623D7"/>
    <w:rsid w:val="2D3F4034"/>
    <w:rsid w:val="2D855575"/>
    <w:rsid w:val="39254154"/>
    <w:rsid w:val="3A6349EE"/>
    <w:rsid w:val="3B4D154E"/>
    <w:rsid w:val="41880725"/>
    <w:rsid w:val="420A016B"/>
    <w:rsid w:val="439A0DFC"/>
    <w:rsid w:val="45903D20"/>
    <w:rsid w:val="46310686"/>
    <w:rsid w:val="4EC34302"/>
    <w:rsid w:val="501167B4"/>
    <w:rsid w:val="53A71C4B"/>
    <w:rsid w:val="594E3790"/>
    <w:rsid w:val="5A0D00F0"/>
    <w:rsid w:val="5BBF6EE2"/>
    <w:rsid w:val="5E2378A3"/>
    <w:rsid w:val="608F0929"/>
    <w:rsid w:val="6365391E"/>
    <w:rsid w:val="64145C3D"/>
    <w:rsid w:val="65183A9D"/>
    <w:rsid w:val="793B0674"/>
    <w:rsid w:val="7B9C1096"/>
    <w:rsid w:val="7C162B2F"/>
    <w:rsid w:val="7D863BC3"/>
    <w:rsid w:val="7FCA5B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b/>
      <w:bCs/>
      <w:sz w:val="44"/>
    </w:rPr>
  </w:style>
  <w:style w:type="paragraph" w:styleId="3">
    <w:name w:val="Body Text Indent"/>
    <w:basedOn w:val="1"/>
    <w:qFormat/>
    <w:uiPriority w:val="0"/>
    <w:pPr>
      <w:spacing w:line="600" w:lineRule="exact"/>
      <w:ind w:firstLine="570"/>
    </w:pPr>
    <w:rPr>
      <w:rFonts w:ascii="宋体"/>
      <w:sz w:val="28"/>
      <w:szCs w:val="20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5"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Table Normal1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4FF7-256F-4230-A865-270A8263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Lenovo</Company>
  <Pages>8</Pages>
  <Words>3023</Words>
  <Characters>3266</Characters>
  <Lines>22</Lines>
  <Paragraphs>6</Paragraphs>
  <TotalTime>1</TotalTime>
  <ScaleCrop>false</ScaleCrop>
  <LinksUpToDate>false</LinksUpToDate>
  <CharactersWithSpaces>3338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2025-11-24T07:40:00Z</dcterms:created>
  <dc:creator>陈旺</dc:creator>
  <cp:lastModifiedBy>冯志燕</cp:lastModifiedBy>
  <cp:lastPrinted>2025-08-05T08:06:00Z</cp:lastPrinted>
  <dcterms:modified xsi:type="dcterms:W3CDTF">2026-06-02T07:42:39Z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78E6DFFA3720497AA552E4EBDC1A269F_13</vt:lpwstr>
  </property>
  <property fmtid="{D5CDD505-2E9C-101B-9397-08002B2CF9AE}" pid="4" name="KSOTemplateDocerSaveRecord">
    <vt:lpwstr>eyJoZGlkIjoiOTQxNTVkNWI0Y2E2ZWVhYzM0MjFhNjczYjNkMTI4MDgiLCJ1c2VySWQiOiI0NjEwOTE0NzIifQ==</vt:lpwstr>
  </property>
</Properties>
</file>