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B943">
      <w:pPr>
        <w:jc w:val="center"/>
        <w:rPr>
          <w:rFonts w:cs="方正小标宋简体" w:asciiTheme="minorEastAsia" w:hAnsiTheme="minorEastAsia"/>
          <w:b/>
          <w:color w:val="auto"/>
          <w:sz w:val="44"/>
          <w:szCs w:val="44"/>
        </w:rPr>
      </w:pPr>
      <w:bookmarkStart w:id="0" w:name="_Hlk182408923"/>
      <w:bookmarkStart w:id="6" w:name="_GoBack"/>
      <w:bookmarkEnd w:id="6"/>
    </w:p>
    <w:p w14:paraId="7093F79F">
      <w:pPr>
        <w:jc w:val="center"/>
        <w:rPr>
          <w:rFonts w:cs="方正小标宋简体" w:asciiTheme="minorEastAsia" w:hAnsiTheme="minorEastAsia"/>
          <w:b/>
          <w:color w:val="auto"/>
          <w:sz w:val="44"/>
          <w:szCs w:val="44"/>
        </w:rPr>
      </w:pPr>
    </w:p>
    <w:bookmarkEnd w:id="0"/>
    <w:p w14:paraId="28D9EB71">
      <w:pPr>
        <w:jc w:val="center"/>
        <w:rPr>
          <w:rFonts w:hint="eastAsia" w:asciiTheme="majorEastAsia" w:hAnsiTheme="majorEastAsia" w:eastAsiaTheme="majorEastAsia"/>
          <w:b/>
          <w:bCs/>
          <w:color w:val="auto"/>
          <w:sz w:val="44"/>
          <w:szCs w:val="44"/>
          <w:highlight w:val="none"/>
          <w:lang w:val="en-US" w:eastAsia="zh-CN"/>
        </w:rPr>
      </w:pPr>
      <w:r>
        <w:rPr>
          <w:rFonts w:hint="eastAsia" w:asciiTheme="majorEastAsia" w:hAnsiTheme="majorEastAsia" w:eastAsiaTheme="majorEastAsia"/>
          <w:b/>
          <w:bCs/>
          <w:color w:val="auto"/>
          <w:sz w:val="44"/>
          <w:szCs w:val="44"/>
          <w:highlight w:val="none"/>
        </w:rPr>
        <w:t>《内蒙古自治区</w:t>
      </w:r>
      <w:r>
        <w:rPr>
          <w:rFonts w:hint="eastAsia" w:asciiTheme="majorEastAsia" w:hAnsiTheme="majorEastAsia" w:eastAsiaTheme="majorEastAsia"/>
          <w:b/>
          <w:bCs/>
          <w:color w:val="auto"/>
          <w:sz w:val="44"/>
          <w:szCs w:val="44"/>
          <w:highlight w:val="none"/>
          <w:lang w:eastAsia="zh-CN"/>
        </w:rPr>
        <w:t>鄂托克旗志兴矿区</w:t>
      </w:r>
      <w:r>
        <w:rPr>
          <w:rFonts w:hint="eastAsia" w:asciiTheme="majorEastAsia" w:hAnsiTheme="majorEastAsia" w:eastAsiaTheme="majorEastAsia"/>
          <w:b/>
          <w:bCs/>
          <w:color w:val="auto"/>
          <w:sz w:val="44"/>
          <w:szCs w:val="44"/>
          <w:highlight w:val="none"/>
          <w:lang w:val="en-US" w:eastAsia="zh-CN"/>
        </w:rPr>
        <w:t>3号石英岩</w:t>
      </w:r>
    </w:p>
    <w:p w14:paraId="79C7C47F">
      <w:pPr>
        <w:jc w:val="center"/>
        <w:rPr>
          <w:rFonts w:hint="eastAsia" w:asciiTheme="majorEastAsia" w:hAnsiTheme="majorEastAsia" w:eastAsiaTheme="majorEastAsia"/>
          <w:b/>
          <w:bCs/>
          <w:color w:val="auto"/>
          <w:sz w:val="44"/>
          <w:szCs w:val="44"/>
          <w:highlight w:val="none"/>
        </w:rPr>
      </w:pPr>
      <w:r>
        <w:rPr>
          <w:rFonts w:hint="eastAsia" w:asciiTheme="majorEastAsia" w:hAnsiTheme="majorEastAsia" w:eastAsiaTheme="majorEastAsia"/>
          <w:b/>
          <w:bCs/>
          <w:color w:val="auto"/>
          <w:sz w:val="44"/>
          <w:szCs w:val="44"/>
          <w:highlight w:val="none"/>
          <w:lang w:val="en-US" w:eastAsia="zh-CN"/>
        </w:rPr>
        <w:t>边角资源</w:t>
      </w:r>
      <w:r>
        <w:rPr>
          <w:rFonts w:hint="eastAsia" w:asciiTheme="majorEastAsia" w:hAnsiTheme="majorEastAsia" w:eastAsiaTheme="majorEastAsia"/>
          <w:b/>
          <w:bCs/>
          <w:color w:val="auto"/>
          <w:sz w:val="44"/>
          <w:szCs w:val="44"/>
          <w:highlight w:val="none"/>
        </w:rPr>
        <w:t>勘查方案》</w:t>
      </w:r>
    </w:p>
    <w:p w14:paraId="4920A23B">
      <w:pPr>
        <w:spacing w:before="240" w:beforeLines="100" w:after="240" w:afterLines="100" w:line="720" w:lineRule="exact"/>
        <w:jc w:val="center"/>
        <w:rPr>
          <w:rFonts w:cs="方正小标宋简体" w:asciiTheme="majorEastAsia" w:hAnsiTheme="majorEastAsia" w:eastAsiaTheme="majorEastAsia"/>
          <w:b/>
          <w:color w:val="auto"/>
          <w:sz w:val="44"/>
          <w:szCs w:val="44"/>
          <w:highlight w:val="none"/>
        </w:rPr>
      </w:pPr>
      <w:r>
        <w:rPr>
          <w:rFonts w:hint="eastAsia" w:cs="方正小标宋简体" w:asciiTheme="majorEastAsia" w:hAnsiTheme="majorEastAsia" w:eastAsiaTheme="majorEastAsia"/>
          <w:b/>
          <w:color w:val="auto"/>
          <w:sz w:val="44"/>
          <w:szCs w:val="44"/>
          <w:highlight w:val="none"/>
        </w:rPr>
        <w:t>评  审  意  见  书</w:t>
      </w:r>
    </w:p>
    <w:p w14:paraId="479CB677">
      <w:pPr>
        <w:spacing w:before="240" w:beforeLines="100" w:after="240" w:afterLines="100" w:line="720" w:lineRule="exact"/>
        <w:jc w:val="center"/>
        <w:rPr>
          <w:rFonts w:ascii="仿宋" w:hAnsi="仿宋" w:eastAsia="仿宋"/>
          <w:color w:val="auto"/>
          <w:sz w:val="32"/>
          <w:szCs w:val="32"/>
          <w:highlight w:val="none"/>
        </w:rPr>
      </w:pPr>
      <w:r>
        <w:rPr>
          <w:rFonts w:hint="eastAsia" w:ascii="仿宋" w:hAnsi="仿宋" w:eastAsia="仿宋"/>
          <w:color w:val="auto"/>
          <w:sz w:val="32"/>
          <w:highlight w:val="none"/>
        </w:rPr>
        <w:t>鄂矿勘评字</w:t>
      </w:r>
      <w:r>
        <w:rPr>
          <w:rFonts w:hint="eastAsia" w:ascii="仿宋" w:hAnsi="仿宋" w:eastAsia="仿宋"/>
          <w:bCs/>
          <w:color w:val="auto"/>
          <w:sz w:val="32"/>
          <w:highlight w:val="none"/>
        </w:rPr>
        <w:t>〔2026〕</w:t>
      </w:r>
      <w:r>
        <w:rPr>
          <w:rFonts w:hint="eastAsia" w:ascii="仿宋" w:hAnsi="仿宋" w:eastAsia="仿宋"/>
          <w:bCs/>
          <w:color w:val="auto"/>
          <w:sz w:val="32"/>
          <w:highlight w:val="none"/>
          <w:lang w:val="en-US" w:eastAsia="zh-CN"/>
        </w:rPr>
        <w:t>6</w:t>
      </w:r>
      <w:r>
        <w:rPr>
          <w:rFonts w:hint="eastAsia" w:ascii="仿宋" w:hAnsi="仿宋" w:eastAsia="仿宋"/>
          <w:color w:val="auto"/>
          <w:sz w:val="32"/>
          <w:szCs w:val="32"/>
          <w:highlight w:val="none"/>
        </w:rPr>
        <w:t>号</w:t>
      </w:r>
    </w:p>
    <w:p w14:paraId="782B25AD">
      <w:pPr>
        <w:spacing w:before="240" w:beforeLines="100" w:after="240" w:afterLines="100" w:line="660" w:lineRule="exact"/>
        <w:jc w:val="center"/>
        <w:rPr>
          <w:rFonts w:ascii="仿宋" w:hAnsi="仿宋" w:eastAsia="仿宋"/>
          <w:color w:val="auto"/>
          <w:sz w:val="44"/>
          <w:szCs w:val="36"/>
          <w:highlight w:val="none"/>
        </w:rPr>
      </w:pPr>
    </w:p>
    <w:p w14:paraId="3A57778E">
      <w:pPr>
        <w:spacing w:before="240" w:beforeLines="100" w:after="240" w:afterLines="100" w:line="600" w:lineRule="exact"/>
        <w:jc w:val="center"/>
        <w:rPr>
          <w:rFonts w:ascii="仿宋" w:hAnsi="仿宋" w:eastAsia="仿宋"/>
          <w:color w:val="auto"/>
          <w:sz w:val="32"/>
          <w:szCs w:val="32"/>
          <w:highlight w:val="none"/>
        </w:rPr>
      </w:pPr>
    </w:p>
    <w:p w14:paraId="6864214E">
      <w:pPr>
        <w:spacing w:before="240" w:beforeLines="100" w:after="240" w:afterLines="100" w:line="600" w:lineRule="exact"/>
        <w:jc w:val="center"/>
        <w:rPr>
          <w:rFonts w:ascii="仿宋" w:hAnsi="仿宋" w:eastAsia="仿宋"/>
          <w:color w:val="auto"/>
          <w:sz w:val="32"/>
          <w:szCs w:val="32"/>
          <w:highlight w:val="none"/>
        </w:rPr>
      </w:pPr>
    </w:p>
    <w:p w14:paraId="1A0F661F">
      <w:pPr>
        <w:spacing w:before="240" w:beforeLines="100" w:after="240" w:afterLines="100" w:line="600" w:lineRule="exact"/>
        <w:jc w:val="center"/>
        <w:rPr>
          <w:rFonts w:ascii="仿宋" w:hAnsi="仿宋" w:eastAsia="仿宋"/>
          <w:color w:val="auto"/>
          <w:sz w:val="32"/>
          <w:szCs w:val="32"/>
          <w:highlight w:val="none"/>
        </w:rPr>
      </w:pPr>
    </w:p>
    <w:p w14:paraId="0FFB64C8">
      <w:pPr>
        <w:spacing w:before="240" w:beforeLines="100" w:after="240" w:afterLines="100" w:line="600" w:lineRule="exact"/>
        <w:jc w:val="center"/>
        <w:rPr>
          <w:rFonts w:ascii="仿宋" w:hAnsi="仿宋" w:eastAsia="仿宋"/>
          <w:color w:val="auto"/>
          <w:sz w:val="32"/>
          <w:szCs w:val="32"/>
          <w:highlight w:val="none"/>
        </w:rPr>
      </w:pPr>
    </w:p>
    <w:p w14:paraId="040FC2A8">
      <w:pPr>
        <w:spacing w:before="240" w:beforeLines="100" w:after="240" w:afterLines="100" w:line="600" w:lineRule="exact"/>
        <w:jc w:val="center"/>
        <w:rPr>
          <w:rFonts w:ascii="仿宋" w:hAnsi="仿宋" w:eastAsia="仿宋"/>
          <w:color w:val="auto"/>
          <w:sz w:val="32"/>
          <w:szCs w:val="32"/>
          <w:highlight w:val="none"/>
        </w:rPr>
      </w:pPr>
    </w:p>
    <w:p w14:paraId="0ECC1165">
      <w:pPr>
        <w:spacing w:before="240" w:beforeLines="100" w:after="240" w:afterLines="100" w:line="600" w:lineRule="exact"/>
        <w:rPr>
          <w:rFonts w:ascii="仿宋" w:hAnsi="仿宋" w:eastAsia="仿宋"/>
          <w:color w:val="auto"/>
          <w:sz w:val="32"/>
          <w:szCs w:val="32"/>
          <w:highlight w:val="none"/>
        </w:rPr>
      </w:pPr>
    </w:p>
    <w:p w14:paraId="2CD51497">
      <w:pPr>
        <w:spacing w:before="240" w:beforeLines="100" w:after="240" w:afterLines="100" w:line="600" w:lineRule="exact"/>
        <w:ind w:left="100"/>
        <w:jc w:val="center"/>
        <w:rPr>
          <w:rFonts w:ascii="仿宋" w:hAnsi="仿宋" w:eastAsia="仿宋"/>
          <w:color w:val="auto"/>
          <w:sz w:val="32"/>
          <w:szCs w:val="32"/>
          <w:highlight w:val="none"/>
        </w:rPr>
      </w:pPr>
      <w:r>
        <w:rPr>
          <w:rFonts w:hint="eastAsia" w:ascii="仿宋" w:hAnsi="仿宋" w:eastAsia="仿宋"/>
          <w:color w:val="auto"/>
          <w:sz w:val="32"/>
          <w:szCs w:val="32"/>
          <w:highlight w:val="none"/>
        </w:rPr>
        <w:t>2026年5月28日</w:t>
      </w:r>
    </w:p>
    <w:p w14:paraId="6C09BD58">
      <w:pPr>
        <w:spacing w:before="240" w:beforeLines="100" w:after="240" w:afterLines="100" w:line="600" w:lineRule="exact"/>
        <w:ind w:left="100"/>
        <w:jc w:val="center"/>
        <w:rPr>
          <w:rFonts w:ascii="仿宋" w:hAnsi="仿宋" w:eastAsia="仿宋"/>
          <w:color w:val="auto"/>
          <w:sz w:val="32"/>
          <w:szCs w:val="32"/>
          <w:highlight w:val="none"/>
        </w:rPr>
      </w:pPr>
    </w:p>
    <w:p w14:paraId="03BE25FD">
      <w:pPr>
        <w:spacing w:before="240" w:beforeLines="100" w:after="240" w:afterLines="100" w:line="600" w:lineRule="exact"/>
        <w:ind w:left="100"/>
        <w:jc w:val="center"/>
        <w:rPr>
          <w:rFonts w:ascii="仿宋" w:hAnsi="仿宋" w:eastAsia="仿宋"/>
          <w:color w:val="auto"/>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871" w:right="1531" w:bottom="1871" w:left="1531" w:header="720" w:footer="720" w:gutter="0"/>
          <w:cols w:space="720" w:num="1"/>
          <w:titlePg/>
          <w:docGrid w:linePitch="312" w:charSpace="640"/>
        </w:sectPr>
      </w:pPr>
    </w:p>
    <w:p w14:paraId="4C70CE7D">
      <w:pPr>
        <w:spacing w:line="480" w:lineRule="auto"/>
        <w:rPr>
          <w:rFonts w:hint="eastAsia" w:ascii="仿宋" w:hAnsi="仿宋" w:eastAsia="仿宋" w:cs="Times New Roman"/>
          <w:color w:val="auto"/>
          <w:sz w:val="32"/>
          <w:szCs w:val="32"/>
          <w:highlight w:val="none"/>
        </w:rPr>
      </w:pPr>
      <w:r>
        <w:rPr>
          <w:rFonts w:hint="eastAsia" w:ascii="仿宋" w:hAnsi="仿宋" w:eastAsia="仿宋"/>
          <w:color w:val="auto"/>
          <w:spacing w:val="80"/>
          <w:kern w:val="0"/>
          <w:sz w:val="32"/>
          <w:szCs w:val="32"/>
          <w:highlight w:val="none"/>
        </w:rPr>
        <w:t>申请单位：</w:t>
      </w:r>
      <w:r>
        <w:rPr>
          <w:rFonts w:hint="eastAsia" w:ascii="仿宋" w:hAnsi="仿宋" w:eastAsia="仿宋" w:cs="Times New Roman"/>
          <w:color w:val="auto"/>
          <w:sz w:val="32"/>
          <w:szCs w:val="32"/>
          <w:highlight w:val="none"/>
          <w:lang w:val="en-US" w:eastAsia="zh-CN"/>
        </w:rPr>
        <w:t>鄂托克旗志兴矿业有限责任公司</w:t>
      </w:r>
    </w:p>
    <w:p w14:paraId="6F430553">
      <w:pPr>
        <w:kinsoku w:val="0"/>
        <w:overflowPunct w:val="0"/>
        <w:spacing w:line="317" w:lineRule="auto"/>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编制单位：</w:t>
      </w:r>
      <w:r>
        <w:rPr>
          <w:rFonts w:hint="eastAsia" w:ascii="仿宋" w:hAnsi="仿宋" w:eastAsia="仿宋" w:cs="Times New Roman"/>
          <w:color w:val="auto"/>
          <w:sz w:val="32"/>
          <w:szCs w:val="32"/>
          <w:highlight w:val="none"/>
          <w:lang w:val="en-US" w:eastAsia="zh-CN"/>
        </w:rPr>
        <w:t>内蒙古华远地质勘查技术有限公司</w:t>
      </w:r>
    </w:p>
    <w:p w14:paraId="2F47B149">
      <w:pPr>
        <w:pStyle w:val="18"/>
        <w:rPr>
          <w:rFonts w:ascii="仿宋" w:hAnsi="仿宋" w:eastAsia="仿宋"/>
          <w:color w:val="auto"/>
          <w:sz w:val="32"/>
          <w:szCs w:val="32"/>
          <w:highlight w:val="none"/>
        </w:rPr>
      </w:pPr>
      <w:r>
        <w:rPr>
          <w:rFonts w:hint="eastAsia" w:ascii="仿宋" w:hAnsi="仿宋" w:eastAsia="仿宋"/>
          <w:color w:val="auto"/>
          <w:spacing w:val="30"/>
          <w:sz w:val="32"/>
          <w:szCs w:val="32"/>
          <w:highlight w:val="none"/>
        </w:rPr>
        <w:t>主要编写人：</w:t>
      </w:r>
      <w:r>
        <w:rPr>
          <w:rFonts w:hint="eastAsia" w:ascii="仿宋" w:hAnsi="仿宋" w:eastAsia="仿宋" w:cs="Times New Roman"/>
          <w:color w:val="auto"/>
          <w:kern w:val="2"/>
          <w:sz w:val="32"/>
          <w:szCs w:val="32"/>
          <w:highlight w:val="none"/>
          <w:lang w:val="en-US" w:eastAsia="zh-CN" w:bidi="ar-SA"/>
        </w:rPr>
        <w:t xml:space="preserve"> 冯龙  苏和  葛晓东  赵燕飞  苏胜民</w:t>
      </w:r>
    </w:p>
    <w:p w14:paraId="6DB9810B">
      <w:pPr>
        <w:spacing w:line="360" w:lineRule="auto"/>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编制日期：</w:t>
      </w:r>
      <w:r>
        <w:rPr>
          <w:rFonts w:hint="eastAsia" w:ascii="仿宋" w:hAnsi="仿宋" w:eastAsia="仿宋"/>
          <w:color w:val="auto"/>
          <w:sz w:val="32"/>
          <w:szCs w:val="32"/>
          <w:highlight w:val="none"/>
        </w:rPr>
        <w:t>2026年5月</w:t>
      </w:r>
    </w:p>
    <w:p w14:paraId="0206105C">
      <w:pPr>
        <w:spacing w:line="360" w:lineRule="auto"/>
        <w:jc w:val="left"/>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受理日期：</w:t>
      </w:r>
      <w:r>
        <w:rPr>
          <w:rFonts w:hint="eastAsia" w:ascii="仿宋" w:hAnsi="仿宋" w:eastAsia="仿宋"/>
          <w:color w:val="auto"/>
          <w:sz w:val="32"/>
          <w:szCs w:val="32"/>
          <w:highlight w:val="none"/>
        </w:rPr>
        <w:t>2026年5月16日</w:t>
      </w:r>
    </w:p>
    <w:p w14:paraId="030FDE10">
      <w:pPr>
        <w:spacing w:line="360" w:lineRule="auto"/>
        <w:jc w:val="left"/>
        <w:rPr>
          <w:rFonts w:ascii="仿宋" w:hAnsi="仿宋" w:eastAsia="仿宋" w:cs="宋体"/>
          <w:color w:val="auto"/>
          <w:sz w:val="32"/>
          <w:szCs w:val="32"/>
          <w:highlight w:val="none"/>
        </w:rPr>
      </w:pPr>
      <w:r>
        <w:rPr>
          <w:rFonts w:hint="eastAsia" w:ascii="仿宋" w:hAnsi="仿宋" w:eastAsia="仿宋"/>
          <w:color w:val="auto"/>
          <w:spacing w:val="240"/>
          <w:kern w:val="0"/>
          <w:sz w:val="32"/>
          <w:szCs w:val="32"/>
          <w:highlight w:val="none"/>
        </w:rPr>
        <w:t>汇报</w:t>
      </w:r>
      <w:r>
        <w:rPr>
          <w:rFonts w:hint="eastAsia" w:ascii="仿宋" w:hAnsi="仿宋" w:eastAsia="仿宋"/>
          <w:color w:val="auto"/>
          <w:kern w:val="0"/>
          <w:sz w:val="32"/>
          <w:szCs w:val="32"/>
          <w:highlight w:val="none"/>
        </w:rPr>
        <w:t>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 xml:space="preserve"> </w:t>
      </w:r>
      <w:r>
        <w:rPr>
          <w:rFonts w:hint="eastAsia" w:ascii="仿宋" w:hAnsi="仿宋" w:eastAsia="仿宋" w:cs="Times New Roman"/>
          <w:color w:val="auto"/>
          <w:kern w:val="2"/>
          <w:sz w:val="32"/>
          <w:szCs w:val="32"/>
          <w:highlight w:val="none"/>
          <w:lang w:val="en-US" w:eastAsia="zh-CN" w:bidi="ar-SA"/>
        </w:rPr>
        <w:t>冯龙</w:t>
      </w:r>
    </w:p>
    <w:p w14:paraId="1EFB2FEF">
      <w:pPr>
        <w:spacing w:line="360" w:lineRule="auto"/>
        <w:jc w:val="left"/>
        <w:rPr>
          <w:rFonts w:ascii="仿宋" w:hAnsi="仿宋" w:eastAsia="仿宋"/>
          <w:color w:val="auto"/>
          <w:sz w:val="32"/>
          <w:szCs w:val="32"/>
          <w:highlight w:val="none"/>
        </w:rPr>
      </w:pPr>
      <w:r>
        <w:rPr>
          <w:rFonts w:hint="eastAsia" w:ascii="仿宋" w:hAnsi="仿宋" w:eastAsia="仿宋"/>
          <w:color w:val="auto"/>
          <w:spacing w:val="40"/>
          <w:kern w:val="0"/>
          <w:sz w:val="32"/>
          <w:szCs w:val="32"/>
          <w:highlight w:val="none"/>
        </w:rPr>
        <w:t>评审专家</w:t>
      </w:r>
      <w:r>
        <w:rPr>
          <w:rFonts w:hint="eastAsia" w:ascii="仿宋" w:hAnsi="仿宋" w:eastAsia="仿宋"/>
          <w:color w:val="auto"/>
          <w:kern w:val="0"/>
          <w:sz w:val="32"/>
          <w:szCs w:val="32"/>
          <w:highlight w:val="none"/>
        </w:rPr>
        <w:t>组</w:t>
      </w:r>
    </w:p>
    <w:p w14:paraId="5BCD74F1">
      <w:pPr>
        <w:spacing w:line="360" w:lineRule="auto"/>
        <w:ind w:firstLine="960" w:firstLineChars="300"/>
        <w:jc w:val="left"/>
        <w:rPr>
          <w:rFonts w:ascii="仿宋" w:hAnsi="仿宋" w:eastAsia="仿宋"/>
          <w:color w:val="auto"/>
          <w:sz w:val="32"/>
          <w:szCs w:val="32"/>
          <w:highlight w:val="none"/>
        </w:rPr>
      </w:pPr>
      <w:r>
        <w:rPr>
          <w:rFonts w:hint="eastAsia" w:ascii="仿宋" w:hAnsi="仿宋" w:eastAsia="仿宋"/>
          <w:color w:val="auto"/>
          <w:sz w:val="32"/>
          <w:szCs w:val="32"/>
          <w:highlight w:val="none"/>
        </w:rPr>
        <w:t>组  长：</w:t>
      </w:r>
      <w:r>
        <w:rPr>
          <w:rFonts w:hint="eastAsia" w:ascii="仿宋" w:hAnsi="仿宋" w:eastAsia="仿宋"/>
          <w:color w:val="auto"/>
          <w:sz w:val="32"/>
          <w:szCs w:val="32"/>
          <w:highlight w:val="none"/>
          <w:lang w:val="en-US" w:eastAsia="zh-CN"/>
        </w:rPr>
        <w:t xml:space="preserve"> </w:t>
      </w:r>
      <w:r>
        <w:rPr>
          <w:rFonts w:hint="eastAsia" w:ascii="仿宋" w:hAnsi="仿宋" w:eastAsia="仿宋"/>
          <w:color w:val="auto"/>
          <w:sz w:val="32"/>
          <w:szCs w:val="32"/>
          <w:highlight w:val="none"/>
        </w:rPr>
        <w:t>宋俊峰（地质矿产）</w:t>
      </w:r>
    </w:p>
    <w:p w14:paraId="7E5DC9CA">
      <w:pPr>
        <w:spacing w:line="360" w:lineRule="auto"/>
        <w:ind w:firstLine="960" w:firstLineChars="150"/>
        <w:jc w:val="left"/>
        <w:rPr>
          <w:rFonts w:ascii="仿宋" w:hAnsi="仿宋" w:eastAsia="仿宋"/>
          <w:color w:val="auto"/>
          <w:sz w:val="32"/>
          <w:szCs w:val="32"/>
          <w:highlight w:val="none"/>
        </w:rPr>
      </w:pPr>
      <w:r>
        <w:rPr>
          <w:rFonts w:hint="eastAsia" w:ascii="仿宋" w:hAnsi="仿宋" w:eastAsia="仿宋"/>
          <w:color w:val="auto"/>
          <w:spacing w:val="160"/>
          <w:kern w:val="0"/>
          <w:sz w:val="32"/>
          <w:szCs w:val="32"/>
          <w:highlight w:val="none"/>
        </w:rPr>
        <w:t>成</w:t>
      </w:r>
      <w:r>
        <w:rPr>
          <w:rFonts w:hint="eastAsia" w:ascii="仿宋" w:hAnsi="仿宋" w:eastAsia="仿宋"/>
          <w:color w:val="auto"/>
          <w:kern w:val="0"/>
          <w:sz w:val="32"/>
          <w:szCs w:val="32"/>
          <w:highlight w:val="none"/>
        </w:rPr>
        <w:t>员</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 xml:space="preserve"> </w:t>
      </w:r>
      <w:r>
        <w:rPr>
          <w:rFonts w:hint="eastAsia" w:ascii="仿宋" w:hAnsi="仿宋" w:eastAsia="仿宋"/>
          <w:color w:val="auto"/>
          <w:sz w:val="32"/>
          <w:szCs w:val="32"/>
          <w:highlight w:val="none"/>
        </w:rPr>
        <w:t>陈  旺（地质矿产）</w:t>
      </w:r>
      <w:r>
        <w:rPr>
          <w:rFonts w:hint="eastAsia" w:ascii="仿宋" w:hAnsi="仿宋" w:eastAsia="仿宋"/>
          <w:color w:val="auto"/>
          <w:sz w:val="32"/>
          <w:szCs w:val="32"/>
          <w:highlight w:val="none"/>
          <w:lang w:val="en-US" w:eastAsia="zh-CN"/>
        </w:rPr>
        <w:t xml:space="preserve"> </w:t>
      </w:r>
      <w:r>
        <w:rPr>
          <w:rFonts w:hint="eastAsia" w:ascii="仿宋" w:hAnsi="仿宋" w:eastAsia="仿宋"/>
          <w:color w:val="auto"/>
          <w:sz w:val="32"/>
          <w:szCs w:val="32"/>
          <w:highlight w:val="none"/>
        </w:rPr>
        <w:t>张</w:t>
      </w:r>
      <w:r>
        <w:rPr>
          <w:rFonts w:hint="eastAsia" w:ascii="仿宋" w:hAnsi="仿宋" w:eastAsia="仿宋"/>
          <w:color w:val="auto"/>
          <w:sz w:val="32"/>
          <w:szCs w:val="32"/>
          <w:highlight w:val="none"/>
          <w:lang w:val="en-US" w:eastAsia="zh-CN"/>
        </w:rPr>
        <w:t xml:space="preserve">  </w:t>
      </w:r>
      <w:r>
        <w:rPr>
          <w:rFonts w:hint="eastAsia" w:ascii="仿宋" w:hAnsi="仿宋" w:eastAsia="仿宋"/>
          <w:color w:val="auto"/>
          <w:sz w:val="32"/>
          <w:szCs w:val="32"/>
          <w:highlight w:val="none"/>
        </w:rPr>
        <w:t>娟（水工环）</w:t>
      </w:r>
    </w:p>
    <w:p w14:paraId="7D0B9BA0">
      <w:pPr>
        <w:spacing w:line="360" w:lineRule="auto"/>
        <w:jc w:val="left"/>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评审方式：</w:t>
      </w:r>
      <w:r>
        <w:rPr>
          <w:rFonts w:hint="eastAsia" w:ascii="仿宋" w:hAnsi="仿宋" w:eastAsia="仿宋"/>
          <w:color w:val="auto"/>
          <w:sz w:val="32"/>
          <w:szCs w:val="32"/>
          <w:highlight w:val="none"/>
        </w:rPr>
        <w:t>会议评审</w:t>
      </w:r>
    </w:p>
    <w:p w14:paraId="32E50CC9">
      <w:pPr>
        <w:spacing w:line="360" w:lineRule="auto"/>
        <w:jc w:val="left"/>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评审日期：</w:t>
      </w:r>
      <w:r>
        <w:rPr>
          <w:rFonts w:hint="eastAsia" w:ascii="仿宋" w:hAnsi="仿宋" w:eastAsia="仿宋"/>
          <w:color w:val="auto"/>
          <w:sz w:val="32"/>
          <w:szCs w:val="32"/>
          <w:highlight w:val="none"/>
        </w:rPr>
        <w:t>2026年5月20日</w:t>
      </w:r>
    </w:p>
    <w:p w14:paraId="462E5356">
      <w:pPr>
        <w:spacing w:line="360" w:lineRule="auto"/>
        <w:jc w:val="left"/>
        <w:rPr>
          <w:rFonts w:ascii="仿宋" w:hAnsi="仿宋" w:eastAsia="仿宋"/>
          <w:color w:val="auto"/>
          <w:sz w:val="32"/>
          <w:szCs w:val="32"/>
          <w:highlight w:val="none"/>
        </w:rPr>
      </w:pPr>
      <w:r>
        <w:rPr>
          <w:rFonts w:hint="eastAsia" w:ascii="仿宋" w:hAnsi="仿宋" w:eastAsia="仿宋"/>
          <w:color w:val="auto"/>
          <w:spacing w:val="80"/>
          <w:kern w:val="0"/>
          <w:sz w:val="32"/>
          <w:szCs w:val="32"/>
          <w:highlight w:val="none"/>
        </w:rPr>
        <w:t>评审地点：</w:t>
      </w:r>
      <w:r>
        <w:rPr>
          <w:rFonts w:hint="eastAsia" w:ascii="仿宋" w:hAnsi="仿宋" w:eastAsia="仿宋"/>
          <w:color w:val="auto"/>
          <w:sz w:val="32"/>
          <w:highlight w:val="none"/>
        </w:rPr>
        <w:t>呼和浩特市</w:t>
      </w:r>
    </w:p>
    <w:p w14:paraId="5B5AE726">
      <w:pPr>
        <w:adjustRightInd w:val="0"/>
        <w:snapToGrid w:val="0"/>
        <w:spacing w:line="560" w:lineRule="exact"/>
        <w:ind w:firstLine="640" w:firstLineChars="200"/>
        <w:rPr>
          <w:rFonts w:ascii="仿宋" w:hAnsi="仿宋" w:eastAsia="仿宋"/>
          <w:color w:val="auto"/>
          <w:sz w:val="32"/>
          <w:szCs w:val="32"/>
          <w:highlight w:val="none"/>
        </w:rPr>
        <w:sectPr>
          <w:footerReference r:id="rId9" w:type="default"/>
          <w:pgSz w:w="11906" w:h="16838"/>
          <w:pgMar w:top="1440" w:right="1800" w:bottom="1440" w:left="1800" w:header="851" w:footer="992" w:gutter="0"/>
          <w:pgNumType w:start="1"/>
          <w:cols w:space="425" w:num="1"/>
          <w:docGrid w:type="lines" w:linePitch="312" w:charSpace="0"/>
        </w:sectPr>
      </w:pPr>
    </w:p>
    <w:p w14:paraId="07A9C191">
      <w:pPr>
        <w:kinsoku w:val="0"/>
        <w:overflowPunct w:val="0"/>
        <w:spacing w:line="621" w:lineRule="exact"/>
        <w:ind w:left="10" w:leftChars="5" w:firstLine="480" w:firstLineChars="150"/>
        <w:jc w:val="left"/>
        <w:rPr>
          <w:rFonts w:ascii="仿宋" w:hAnsi="仿宋" w:eastAsia="仿宋"/>
          <w:color w:val="auto"/>
          <w:sz w:val="32"/>
          <w:szCs w:val="32"/>
          <w:highlight w:val="none"/>
        </w:rPr>
      </w:pPr>
      <w:r>
        <w:rPr>
          <w:rFonts w:hint="eastAsia" w:ascii="仿宋" w:hAnsi="仿宋" w:eastAsia="仿宋"/>
          <w:color w:val="auto"/>
          <w:sz w:val="32"/>
          <w:highlight w:val="none"/>
        </w:rPr>
        <w:t>受鄂尔多斯市自然资源局委托,</w:t>
      </w:r>
      <w:r>
        <w:rPr>
          <w:rFonts w:hint="eastAsia" w:cs="仿宋" w:asciiTheme="minorEastAsia" w:hAnsiTheme="minorEastAsia"/>
          <w:color w:val="auto"/>
          <w:sz w:val="28"/>
          <w:szCs w:val="28"/>
          <w:highlight w:val="none"/>
        </w:rPr>
        <w:t xml:space="preserve"> </w:t>
      </w:r>
      <w:r>
        <w:rPr>
          <w:rFonts w:hint="eastAsia" w:ascii="仿宋" w:hAnsi="仿宋" w:eastAsia="仿宋"/>
          <w:color w:val="auto"/>
          <w:sz w:val="32"/>
          <w:szCs w:val="32"/>
          <w:highlight w:val="none"/>
        </w:rPr>
        <w:t>鄂尔多斯市地质调查监测院</w:t>
      </w:r>
      <w:r>
        <w:rPr>
          <w:rFonts w:hint="eastAsia" w:ascii="仿宋" w:hAnsi="仿宋" w:eastAsia="仿宋"/>
          <w:color w:val="auto"/>
          <w:sz w:val="32"/>
          <w:highlight w:val="none"/>
        </w:rPr>
        <w:t>2026年5月16日受理了</w:t>
      </w:r>
      <w:r>
        <w:rPr>
          <w:rFonts w:hint="eastAsia" w:ascii="仿宋" w:hAnsi="仿宋" w:eastAsia="仿宋" w:cs="Times New Roman"/>
          <w:color w:val="auto"/>
          <w:sz w:val="32"/>
          <w:szCs w:val="32"/>
          <w:highlight w:val="none"/>
          <w:lang w:val="en-US" w:eastAsia="zh-CN"/>
        </w:rPr>
        <w:t>鄂</w:t>
      </w:r>
      <w:r>
        <w:rPr>
          <w:rFonts w:hint="eastAsia" w:ascii="仿宋" w:hAnsi="仿宋" w:eastAsia="仿宋"/>
          <w:color w:val="auto"/>
          <w:sz w:val="32"/>
          <w:szCs w:val="32"/>
          <w:highlight w:val="none"/>
          <w:lang w:val="en-US" w:eastAsia="zh-CN"/>
        </w:rPr>
        <w:t>托克旗</w:t>
      </w:r>
      <w:r>
        <w:rPr>
          <w:rFonts w:hint="eastAsia" w:ascii="仿宋" w:hAnsi="仿宋" w:eastAsia="仿宋"/>
          <w:color w:val="auto"/>
          <w:sz w:val="32"/>
          <w:szCs w:val="32"/>
          <w:highlight w:val="none"/>
          <w:lang w:eastAsia="zh-CN"/>
        </w:rPr>
        <w:t>志兴</w:t>
      </w:r>
      <w:r>
        <w:rPr>
          <w:rFonts w:hint="eastAsia" w:ascii="仿宋" w:hAnsi="仿宋" w:eastAsia="仿宋"/>
          <w:color w:val="auto"/>
          <w:sz w:val="32"/>
          <w:szCs w:val="32"/>
          <w:highlight w:val="none"/>
          <w:lang w:val="en-US" w:eastAsia="zh-CN"/>
        </w:rPr>
        <w:t>矿业有限责任公司</w:t>
      </w:r>
      <w:r>
        <w:rPr>
          <w:rFonts w:hint="eastAsia" w:ascii="仿宋" w:hAnsi="仿宋" w:eastAsia="仿宋"/>
          <w:color w:val="auto"/>
          <w:sz w:val="32"/>
          <w:szCs w:val="32"/>
          <w:highlight w:val="none"/>
        </w:rPr>
        <w:t>提交、</w:t>
      </w:r>
      <w:r>
        <w:rPr>
          <w:rFonts w:hint="eastAsia" w:ascii="仿宋" w:hAnsi="仿宋" w:eastAsia="仿宋"/>
          <w:color w:val="auto"/>
          <w:sz w:val="32"/>
          <w:szCs w:val="32"/>
          <w:highlight w:val="none"/>
          <w:lang w:val="en-US" w:eastAsia="zh-CN"/>
        </w:rPr>
        <w:t>内蒙古华远地质勘查技术有限公司</w:t>
      </w:r>
      <w:r>
        <w:rPr>
          <w:rFonts w:hint="eastAsia" w:ascii="仿宋" w:hAnsi="仿宋" w:eastAsia="仿宋"/>
          <w:color w:val="auto"/>
          <w:sz w:val="32"/>
          <w:szCs w:val="32"/>
          <w:highlight w:val="none"/>
        </w:rPr>
        <w:t>编制的《内蒙古自治区</w:t>
      </w:r>
      <w:r>
        <w:rPr>
          <w:rFonts w:hint="eastAsia" w:ascii="仿宋" w:hAnsi="仿宋" w:eastAsia="仿宋"/>
          <w:color w:val="auto"/>
          <w:sz w:val="32"/>
          <w:szCs w:val="32"/>
          <w:highlight w:val="none"/>
          <w:lang w:val="en-US" w:eastAsia="zh-CN"/>
        </w:rPr>
        <w:t>鄂托克旗</w:t>
      </w:r>
      <w:r>
        <w:rPr>
          <w:rFonts w:hint="eastAsia" w:ascii="仿宋" w:hAnsi="仿宋" w:eastAsia="仿宋"/>
          <w:color w:val="auto"/>
          <w:sz w:val="32"/>
          <w:szCs w:val="32"/>
          <w:highlight w:val="none"/>
          <w:lang w:eastAsia="zh-CN"/>
        </w:rPr>
        <w:t>志兴矿区</w:t>
      </w:r>
      <w:r>
        <w:rPr>
          <w:rFonts w:hint="eastAsia" w:ascii="仿宋" w:hAnsi="仿宋" w:eastAsia="仿宋"/>
          <w:color w:val="auto"/>
          <w:sz w:val="32"/>
          <w:szCs w:val="32"/>
          <w:highlight w:val="none"/>
          <w:lang w:val="en-US" w:eastAsia="zh-CN"/>
        </w:rPr>
        <w:t>3号石英岩</w:t>
      </w:r>
      <w:r>
        <w:rPr>
          <w:rFonts w:hint="eastAsia" w:ascii="仿宋" w:hAnsi="仿宋" w:eastAsia="仿宋"/>
          <w:color w:val="auto"/>
          <w:sz w:val="32"/>
          <w:szCs w:val="32"/>
          <w:highlight w:val="none"/>
        </w:rPr>
        <w:t>边角资源勘查方案》（以下简称《方案》）。鄂尔多斯市地质调查监测院</w:t>
      </w:r>
      <w:r>
        <w:rPr>
          <w:rFonts w:hint="eastAsia" w:ascii="仿宋" w:hAnsi="仿宋" w:eastAsia="仿宋"/>
          <w:color w:val="auto"/>
          <w:sz w:val="32"/>
          <w:highlight w:val="none"/>
        </w:rPr>
        <w:t>依据《内蒙古自治区自然资源厅关于做好&lt;矿产资源法&gt;实施衔接过渡期矿产资源勘查方案、开采方案评审工作的公告》（公告〔2025〕27号）</w:t>
      </w:r>
      <w:r>
        <w:rPr>
          <w:rFonts w:hint="eastAsia" w:ascii="仿宋" w:hAnsi="仿宋" w:eastAsia="仿宋"/>
          <w:color w:val="auto"/>
          <w:sz w:val="32"/>
          <w:highlight w:val="none"/>
          <w:lang w:eastAsia="zh-CN"/>
        </w:rPr>
        <w:t>、</w:t>
      </w:r>
      <w:r>
        <w:rPr>
          <w:rFonts w:hint="eastAsia" w:ascii="仿宋" w:hAnsi="仿宋" w:eastAsia="仿宋"/>
          <w:color w:val="auto"/>
          <w:sz w:val="32"/>
          <w:highlight w:val="none"/>
        </w:rPr>
        <w:t>《内蒙古自治区自然资源厅关于发布矿产资源勘查方案、开采方案评审临时服务指南的公告》(公告〔2025〕30号)等文件，于2026年5月20日在呼和浩特市组织专家对《方案》进行了评审。会后提交单位按专家组意见对《方案》进行了修改完善，于2026年5月25日返回修改稿，经专家组复核后形成仅供矿业权管理使用的评审意见如下：</w:t>
      </w:r>
    </w:p>
    <w:p w14:paraId="6B1816AF">
      <w:pPr>
        <w:adjustRightInd w:val="0"/>
        <w:snapToGrid w:val="0"/>
        <w:spacing w:line="560" w:lineRule="exact"/>
        <w:ind w:firstLine="643" w:firstLineChars="200"/>
        <w:rPr>
          <w:rFonts w:ascii="仿宋" w:hAnsi="仿宋" w:eastAsia="仿宋" w:cs="黑体"/>
          <w:b/>
          <w:bCs/>
          <w:color w:val="auto"/>
          <w:sz w:val="32"/>
          <w:szCs w:val="32"/>
          <w:highlight w:val="none"/>
        </w:rPr>
      </w:pPr>
      <w:r>
        <w:rPr>
          <w:rFonts w:hint="eastAsia" w:ascii="仿宋" w:hAnsi="仿宋" w:eastAsia="仿宋" w:cs="黑体"/>
          <w:b/>
          <w:bCs/>
          <w:color w:val="auto"/>
          <w:sz w:val="32"/>
          <w:szCs w:val="32"/>
          <w:highlight w:val="none"/>
        </w:rPr>
        <w:t>一、方案的编制目的</w:t>
      </w:r>
    </w:p>
    <w:p w14:paraId="6FD2F46D">
      <w:pPr>
        <w:adjustRightInd w:val="0"/>
        <w:snapToGrid w:val="0"/>
        <w:spacing w:line="560" w:lineRule="exact"/>
        <w:ind w:firstLine="640" w:firstLineChars="200"/>
        <w:rPr>
          <w:rFonts w:asciiTheme="minorEastAsia" w:hAnsiTheme="minorEastAsia" w:cstheme="minorEastAsia"/>
          <w:color w:val="auto"/>
          <w:sz w:val="32"/>
          <w:szCs w:val="32"/>
          <w:highlight w:val="none"/>
        </w:rPr>
      </w:pPr>
      <w:r>
        <w:rPr>
          <w:rFonts w:hint="eastAsia" w:ascii="仿宋" w:hAnsi="仿宋" w:eastAsia="仿宋"/>
          <w:color w:val="auto"/>
          <w:sz w:val="32"/>
          <w:szCs w:val="32"/>
          <w:highlight w:val="none"/>
        </w:rPr>
        <w:t>《方案》编制目的为探矿权首次申请。</w:t>
      </w:r>
    </w:p>
    <w:p w14:paraId="58995BE1">
      <w:pPr>
        <w:adjustRightInd w:val="0"/>
        <w:snapToGrid w:val="0"/>
        <w:spacing w:line="560" w:lineRule="exact"/>
        <w:ind w:firstLine="643" w:firstLineChars="200"/>
        <w:rPr>
          <w:rFonts w:ascii="仿宋" w:hAnsi="仿宋" w:eastAsia="仿宋" w:cs="黑体"/>
          <w:b/>
          <w:bCs/>
          <w:color w:val="auto"/>
          <w:sz w:val="32"/>
          <w:szCs w:val="32"/>
          <w:highlight w:val="none"/>
        </w:rPr>
      </w:pPr>
      <w:r>
        <w:rPr>
          <w:rFonts w:hint="eastAsia" w:ascii="仿宋" w:hAnsi="仿宋" w:eastAsia="仿宋" w:cs="黑体"/>
          <w:b/>
          <w:bCs/>
          <w:color w:val="auto"/>
          <w:sz w:val="32"/>
          <w:szCs w:val="32"/>
          <w:highlight w:val="none"/>
        </w:rPr>
        <w:t>二、勘查区概况</w:t>
      </w:r>
    </w:p>
    <w:p w14:paraId="1CB1CEB3">
      <w:pPr>
        <w:adjustRightInd w:val="0"/>
        <w:snapToGrid w:val="0"/>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（一）探矿权基本情况</w:t>
      </w:r>
    </w:p>
    <w:p w14:paraId="50956D49">
      <w:pPr>
        <w:snapToGrid w:val="0"/>
        <w:spacing w:line="360" w:lineRule="auto"/>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2</w:t>
      </w:r>
      <w:r>
        <w:rPr>
          <w:rFonts w:ascii="仿宋" w:hAnsi="仿宋" w:eastAsia="仿宋"/>
          <w:color w:val="auto"/>
          <w:sz w:val="32"/>
          <w:szCs w:val="32"/>
          <w:highlight w:val="none"/>
        </w:rPr>
        <w:t>02</w:t>
      </w:r>
      <w:r>
        <w:rPr>
          <w:rFonts w:hint="eastAsia" w:ascii="仿宋" w:hAnsi="仿宋" w:eastAsia="仿宋"/>
          <w:color w:val="auto"/>
          <w:sz w:val="32"/>
          <w:szCs w:val="32"/>
          <w:highlight w:val="none"/>
        </w:rPr>
        <w:t>6年4月20日，</w:t>
      </w:r>
      <w:r>
        <w:rPr>
          <w:rFonts w:hint="eastAsia" w:ascii="仿宋" w:hAnsi="仿宋" w:eastAsia="仿宋" w:cs="Times New Roman"/>
          <w:color w:val="auto"/>
          <w:sz w:val="32"/>
          <w:szCs w:val="32"/>
          <w:highlight w:val="none"/>
          <w:lang w:val="en-US" w:eastAsia="zh-CN"/>
        </w:rPr>
        <w:t>鄂托克旗</w:t>
      </w:r>
      <w:r>
        <w:rPr>
          <w:rFonts w:hint="eastAsia" w:ascii="仿宋" w:hAnsi="仿宋" w:eastAsia="仿宋"/>
          <w:color w:val="auto"/>
          <w:sz w:val="32"/>
          <w:szCs w:val="32"/>
          <w:highlight w:val="none"/>
          <w:lang w:eastAsia="zh-CN"/>
        </w:rPr>
        <w:t>志兴</w:t>
      </w:r>
      <w:r>
        <w:rPr>
          <w:rFonts w:hint="eastAsia" w:ascii="仿宋" w:hAnsi="仿宋" w:eastAsia="仿宋" w:cs="Times New Roman"/>
          <w:color w:val="auto"/>
          <w:sz w:val="32"/>
          <w:szCs w:val="32"/>
          <w:highlight w:val="none"/>
          <w:lang w:val="en-US" w:eastAsia="zh-CN"/>
        </w:rPr>
        <w:t>矿业有限责任公司</w:t>
      </w:r>
      <w:r>
        <w:rPr>
          <w:rFonts w:hint="eastAsia" w:ascii="仿宋" w:hAnsi="仿宋" w:eastAsia="仿宋" w:cs="宋体"/>
          <w:color w:val="auto"/>
          <w:spacing w:val="-1"/>
          <w:sz w:val="32"/>
          <w:szCs w:val="32"/>
          <w:highlight w:val="none"/>
        </w:rPr>
        <w:t>通过挂牌方式竞得“</w:t>
      </w:r>
      <w:r>
        <w:rPr>
          <w:rFonts w:hint="eastAsia" w:ascii="仿宋" w:hAnsi="仿宋" w:eastAsia="仿宋" w:cs="宋体"/>
          <w:snapToGrid w:val="0"/>
          <w:color w:val="auto"/>
          <w:spacing w:val="-3"/>
          <w:kern w:val="0"/>
          <w:sz w:val="32"/>
          <w:szCs w:val="32"/>
          <w:highlight w:val="none"/>
        </w:rPr>
        <w:t>内蒙古自治区</w:t>
      </w:r>
      <w:r>
        <w:rPr>
          <w:rFonts w:hint="eastAsia" w:ascii="仿宋" w:hAnsi="仿宋" w:eastAsia="仿宋" w:cs="宋体"/>
          <w:snapToGrid w:val="0"/>
          <w:color w:val="auto"/>
          <w:spacing w:val="-3"/>
          <w:kern w:val="0"/>
          <w:sz w:val="32"/>
          <w:szCs w:val="32"/>
          <w:highlight w:val="none"/>
          <w:lang w:val="en-US" w:eastAsia="zh-CN"/>
        </w:rPr>
        <w:t>鄂托克旗</w:t>
      </w:r>
      <w:r>
        <w:rPr>
          <w:rFonts w:hint="eastAsia" w:ascii="仿宋" w:hAnsi="仿宋" w:eastAsia="仿宋"/>
          <w:color w:val="auto"/>
          <w:sz w:val="32"/>
          <w:szCs w:val="32"/>
          <w:highlight w:val="none"/>
          <w:lang w:eastAsia="zh-CN"/>
        </w:rPr>
        <w:t>志兴矿区</w:t>
      </w:r>
      <w:r>
        <w:rPr>
          <w:rFonts w:hint="eastAsia" w:ascii="仿宋" w:hAnsi="仿宋" w:eastAsia="仿宋"/>
          <w:color w:val="auto"/>
          <w:sz w:val="32"/>
          <w:szCs w:val="32"/>
          <w:highlight w:val="none"/>
          <w:lang w:val="en-US" w:eastAsia="zh-CN"/>
        </w:rPr>
        <w:t>3号石英岩</w:t>
      </w:r>
      <w:r>
        <w:rPr>
          <w:rFonts w:hint="eastAsia" w:ascii="仿宋" w:hAnsi="仿宋" w:eastAsia="仿宋" w:cs="宋体"/>
          <w:snapToGrid w:val="0"/>
          <w:color w:val="auto"/>
          <w:spacing w:val="-3"/>
          <w:kern w:val="0"/>
          <w:sz w:val="32"/>
          <w:szCs w:val="32"/>
          <w:highlight w:val="none"/>
        </w:rPr>
        <w:t>边角资源勘查</w:t>
      </w:r>
      <w:r>
        <w:rPr>
          <w:rFonts w:hint="eastAsia" w:ascii="仿宋" w:hAnsi="仿宋" w:eastAsia="仿宋" w:cs="宋体"/>
          <w:color w:val="auto"/>
          <w:spacing w:val="-1"/>
          <w:sz w:val="32"/>
          <w:szCs w:val="32"/>
          <w:highlight w:val="none"/>
        </w:rPr>
        <w:t>”探矿权</w:t>
      </w:r>
      <w:r>
        <w:rPr>
          <w:rFonts w:hint="eastAsia" w:ascii="仿宋" w:hAnsi="仿宋" w:eastAsia="仿宋" w:cs="宋体"/>
          <w:color w:val="auto"/>
          <w:spacing w:val="-1"/>
          <w:sz w:val="32"/>
          <w:szCs w:val="32"/>
          <w:highlight w:val="none"/>
          <w:lang w:eastAsia="zh-CN"/>
        </w:rPr>
        <w:t>。</w:t>
      </w:r>
      <w:r>
        <w:rPr>
          <w:rFonts w:ascii="仿宋" w:hAnsi="仿宋" w:eastAsia="仿宋"/>
          <w:color w:val="auto"/>
          <w:sz w:val="32"/>
          <w:szCs w:val="32"/>
          <w:highlight w:val="none"/>
        </w:rPr>
        <w:t>2026年</w:t>
      </w:r>
      <w:r>
        <w:rPr>
          <w:rFonts w:hint="eastAsia" w:ascii="仿宋" w:hAnsi="仿宋" w:eastAsia="仿宋"/>
          <w:color w:val="auto"/>
          <w:sz w:val="32"/>
          <w:szCs w:val="32"/>
          <w:highlight w:val="none"/>
        </w:rPr>
        <w:t>5</w:t>
      </w:r>
      <w:r>
        <w:rPr>
          <w:rFonts w:ascii="仿宋" w:hAnsi="仿宋" w:eastAsia="仿宋"/>
          <w:color w:val="auto"/>
          <w:sz w:val="32"/>
          <w:szCs w:val="32"/>
          <w:highlight w:val="none"/>
        </w:rPr>
        <w:t>月</w:t>
      </w:r>
      <w:r>
        <w:rPr>
          <w:rFonts w:hint="eastAsia" w:ascii="仿宋" w:hAnsi="仿宋" w:eastAsia="仿宋"/>
          <w:color w:val="auto"/>
          <w:sz w:val="32"/>
          <w:szCs w:val="32"/>
          <w:highlight w:val="none"/>
        </w:rPr>
        <w:t>8</w:t>
      </w:r>
      <w:r>
        <w:rPr>
          <w:rFonts w:ascii="仿宋" w:hAnsi="仿宋" w:eastAsia="仿宋"/>
          <w:color w:val="auto"/>
          <w:sz w:val="32"/>
          <w:szCs w:val="32"/>
          <w:highlight w:val="none"/>
        </w:rPr>
        <w:t>日</w:t>
      </w:r>
      <w:r>
        <w:rPr>
          <w:rFonts w:hint="eastAsia" w:ascii="仿宋" w:hAnsi="仿宋" w:eastAsia="仿宋" w:cs="宋体"/>
          <w:bCs/>
          <w:color w:val="auto"/>
          <w:kern w:val="0"/>
          <w:sz w:val="32"/>
          <w:szCs w:val="32"/>
          <w:highlight w:val="none"/>
        </w:rPr>
        <w:t>鄂托克旗</w:t>
      </w:r>
      <w:r>
        <w:rPr>
          <w:rFonts w:hint="eastAsia" w:ascii="仿宋" w:hAnsi="仿宋" w:eastAsia="仿宋"/>
          <w:color w:val="auto"/>
          <w:sz w:val="32"/>
          <w:szCs w:val="32"/>
          <w:highlight w:val="none"/>
          <w:lang w:eastAsia="zh-CN"/>
        </w:rPr>
        <w:t>志兴</w:t>
      </w:r>
      <w:r>
        <w:rPr>
          <w:rFonts w:hint="eastAsia" w:ascii="仿宋" w:hAnsi="仿宋" w:eastAsia="仿宋" w:cs="宋体"/>
          <w:bCs/>
          <w:color w:val="auto"/>
          <w:kern w:val="0"/>
          <w:sz w:val="32"/>
          <w:szCs w:val="32"/>
          <w:highlight w:val="none"/>
        </w:rPr>
        <w:t>矿业有限责任公司与</w:t>
      </w:r>
      <w:r>
        <w:rPr>
          <w:rFonts w:hint="eastAsia" w:ascii="仿宋" w:hAnsi="仿宋" w:eastAsia="仿宋"/>
          <w:color w:val="auto"/>
          <w:sz w:val="32"/>
          <w:szCs w:val="32"/>
          <w:highlight w:val="none"/>
        </w:rPr>
        <w:t>鄂托克旗自然资源局签订探矿权出让合同，合同编号为</w:t>
      </w:r>
      <w:r>
        <w:rPr>
          <w:rFonts w:hint="eastAsia" w:ascii="仿宋" w:hAnsi="仿宋" w:eastAsia="仿宋"/>
          <w:color w:val="auto"/>
          <w:sz w:val="32"/>
          <w:szCs w:val="32"/>
          <w:highlight w:val="none"/>
          <w:lang w:val="en-US" w:eastAsia="zh-CN"/>
        </w:rPr>
        <w:t>T1506242026011</w:t>
      </w:r>
      <w:r>
        <w:rPr>
          <w:rFonts w:hint="eastAsia" w:ascii="仿宋" w:hAnsi="仿宋" w:eastAsia="仿宋"/>
          <w:color w:val="auto"/>
          <w:sz w:val="32"/>
          <w:szCs w:val="32"/>
          <w:highlight w:val="none"/>
        </w:rPr>
        <w:t>：勘查项目名称为“内蒙古</w:t>
      </w:r>
      <w:r>
        <w:rPr>
          <w:rFonts w:hint="eastAsia" w:ascii="仿宋" w:hAnsi="仿宋" w:eastAsia="仿宋" w:cs="宋体"/>
          <w:snapToGrid w:val="0"/>
          <w:color w:val="auto"/>
          <w:spacing w:val="-3"/>
          <w:kern w:val="0"/>
          <w:sz w:val="32"/>
          <w:szCs w:val="32"/>
          <w:highlight w:val="none"/>
        </w:rPr>
        <w:t>自治区</w:t>
      </w:r>
      <w:r>
        <w:rPr>
          <w:rFonts w:hint="eastAsia" w:ascii="仿宋" w:hAnsi="仿宋" w:eastAsia="仿宋" w:cs="宋体"/>
          <w:snapToGrid w:val="0"/>
          <w:color w:val="auto"/>
          <w:spacing w:val="-3"/>
          <w:kern w:val="0"/>
          <w:sz w:val="32"/>
          <w:szCs w:val="32"/>
          <w:highlight w:val="none"/>
          <w:lang w:val="en-US" w:eastAsia="zh-CN"/>
        </w:rPr>
        <w:t>鄂托克旗</w:t>
      </w:r>
      <w:r>
        <w:rPr>
          <w:rFonts w:hint="eastAsia" w:ascii="仿宋" w:hAnsi="仿宋" w:eastAsia="仿宋"/>
          <w:color w:val="auto"/>
          <w:sz w:val="32"/>
          <w:szCs w:val="32"/>
          <w:highlight w:val="none"/>
          <w:lang w:eastAsia="zh-CN"/>
        </w:rPr>
        <w:t>志兴矿区</w:t>
      </w:r>
      <w:r>
        <w:rPr>
          <w:rFonts w:hint="eastAsia" w:ascii="仿宋" w:hAnsi="仿宋" w:eastAsia="仿宋"/>
          <w:color w:val="auto"/>
          <w:sz w:val="32"/>
          <w:szCs w:val="32"/>
          <w:highlight w:val="none"/>
          <w:lang w:val="en-US" w:eastAsia="zh-CN"/>
        </w:rPr>
        <w:t>3号石英岩</w:t>
      </w:r>
      <w:r>
        <w:rPr>
          <w:rFonts w:hint="eastAsia" w:ascii="仿宋" w:hAnsi="仿宋" w:eastAsia="仿宋" w:cs="宋体"/>
          <w:snapToGrid w:val="0"/>
          <w:color w:val="auto"/>
          <w:spacing w:val="-3"/>
          <w:kern w:val="0"/>
          <w:sz w:val="32"/>
          <w:szCs w:val="32"/>
          <w:highlight w:val="none"/>
        </w:rPr>
        <w:t>边角资源勘查</w:t>
      </w:r>
      <w:r>
        <w:rPr>
          <w:rFonts w:hint="eastAsia" w:ascii="仿宋" w:hAnsi="仿宋" w:eastAsia="仿宋" w:cs="宋体"/>
          <w:color w:val="auto"/>
          <w:sz w:val="32"/>
          <w:szCs w:val="32"/>
          <w:highlight w:val="none"/>
        </w:rPr>
        <w:t>”</w:t>
      </w:r>
      <w:r>
        <w:rPr>
          <w:rFonts w:hint="eastAsia" w:ascii="仿宋" w:hAnsi="仿宋" w:eastAsia="仿宋"/>
          <w:color w:val="auto"/>
          <w:sz w:val="32"/>
          <w:szCs w:val="32"/>
          <w:highlight w:val="none"/>
          <w:lang w:eastAsia="zh-CN"/>
        </w:rPr>
        <w:t>，</w:t>
      </w:r>
      <w:r>
        <w:rPr>
          <w:rFonts w:ascii="仿宋" w:hAnsi="仿宋" w:eastAsia="仿宋"/>
          <w:color w:val="auto"/>
          <w:sz w:val="32"/>
          <w:szCs w:val="32"/>
          <w:highlight w:val="none"/>
        </w:rPr>
        <w:t>勘查矿种为</w:t>
      </w:r>
      <w:r>
        <w:rPr>
          <w:rFonts w:hint="eastAsia" w:ascii="仿宋" w:hAnsi="仿宋" w:eastAsia="仿宋"/>
          <w:color w:val="auto"/>
          <w:sz w:val="32"/>
          <w:szCs w:val="32"/>
          <w:highlight w:val="none"/>
          <w:lang w:val="en-US" w:eastAsia="zh-CN"/>
        </w:rPr>
        <w:t>石英岩</w:t>
      </w:r>
      <w:r>
        <w:rPr>
          <w:rFonts w:ascii="仿宋" w:hAnsi="仿宋" w:eastAsia="仿宋"/>
          <w:color w:val="auto"/>
          <w:sz w:val="32"/>
          <w:szCs w:val="32"/>
          <w:highlight w:val="none"/>
        </w:rPr>
        <w:t>，</w:t>
      </w:r>
      <w:r>
        <w:rPr>
          <w:rFonts w:hint="eastAsia" w:ascii="仿宋" w:hAnsi="仿宋" w:eastAsia="仿宋" w:cs="宋体"/>
          <w:color w:val="auto"/>
          <w:sz w:val="32"/>
          <w:szCs w:val="32"/>
          <w:highlight w:val="none"/>
        </w:rPr>
        <w:t>面积</w:t>
      </w:r>
      <w:r>
        <w:rPr>
          <w:rFonts w:hint="eastAsia" w:ascii="仿宋" w:hAnsi="仿宋" w:eastAsia="仿宋"/>
          <w:color w:val="auto"/>
          <w:sz w:val="32"/>
          <w:szCs w:val="32"/>
          <w:highlight w:val="none"/>
        </w:rPr>
        <w:t>0.</w:t>
      </w:r>
      <w:r>
        <w:rPr>
          <w:rFonts w:hint="eastAsia" w:ascii="仿宋" w:hAnsi="仿宋" w:eastAsia="仿宋"/>
          <w:color w:val="auto"/>
          <w:sz w:val="32"/>
          <w:szCs w:val="32"/>
          <w:highlight w:val="none"/>
          <w:lang w:val="en-US" w:eastAsia="zh-CN"/>
        </w:rPr>
        <w:t>0786</w:t>
      </w:r>
      <w:r>
        <w:rPr>
          <w:rFonts w:ascii="仿宋" w:hAnsi="仿宋" w:eastAsia="仿宋"/>
          <w:color w:val="auto"/>
          <w:sz w:val="32"/>
          <w:szCs w:val="32"/>
          <w:highlight w:val="none"/>
        </w:rPr>
        <w:t>km</w:t>
      </w:r>
      <w:r>
        <w:rPr>
          <w:rFonts w:ascii="仿宋" w:hAnsi="仿宋" w:eastAsia="仿宋"/>
          <w:color w:val="auto"/>
          <w:sz w:val="32"/>
          <w:szCs w:val="32"/>
          <w:highlight w:val="none"/>
          <w:vertAlign w:val="superscript"/>
        </w:rPr>
        <w:t>2</w:t>
      </w:r>
      <w:r>
        <w:rPr>
          <w:rFonts w:hint="eastAsia" w:ascii="仿宋" w:hAnsi="仿宋" w:eastAsia="仿宋" w:cs="宋体"/>
          <w:color w:val="auto"/>
          <w:sz w:val="32"/>
          <w:szCs w:val="32"/>
          <w:highlight w:val="none"/>
        </w:rPr>
        <w:t>，</w:t>
      </w:r>
      <w:r>
        <w:rPr>
          <w:rFonts w:hint="eastAsia" w:ascii="仿宋" w:hAnsi="仿宋" w:eastAsia="仿宋"/>
          <w:color w:val="auto"/>
          <w:sz w:val="32"/>
          <w:szCs w:val="32"/>
          <w:highlight w:val="none"/>
        </w:rPr>
        <w:t>探矿权首次登记期限为5年，</w:t>
      </w:r>
      <w:r>
        <w:rPr>
          <w:rFonts w:hint="eastAsia" w:ascii="仿宋" w:hAnsi="仿宋" w:eastAsia="仿宋"/>
          <w:bCs/>
          <w:color w:val="auto"/>
          <w:sz w:val="32"/>
          <w:szCs w:val="32"/>
          <w:highlight w:val="none"/>
        </w:rPr>
        <w:t>有效期限</w:t>
      </w:r>
      <w:r>
        <w:rPr>
          <w:rFonts w:ascii="仿宋" w:hAnsi="仿宋" w:eastAsia="仿宋"/>
          <w:color w:val="auto"/>
          <w:sz w:val="32"/>
          <w:szCs w:val="32"/>
          <w:highlight w:val="none"/>
        </w:rPr>
        <w:t>2026年</w:t>
      </w:r>
      <w:r>
        <w:rPr>
          <w:rFonts w:hint="eastAsia" w:ascii="仿宋" w:hAnsi="仿宋" w:eastAsia="仿宋"/>
          <w:color w:val="auto"/>
          <w:sz w:val="32"/>
          <w:szCs w:val="32"/>
          <w:highlight w:val="none"/>
        </w:rPr>
        <w:t>5</w:t>
      </w:r>
      <w:r>
        <w:rPr>
          <w:rFonts w:ascii="仿宋" w:hAnsi="仿宋" w:eastAsia="仿宋"/>
          <w:color w:val="auto"/>
          <w:sz w:val="32"/>
          <w:szCs w:val="32"/>
          <w:highlight w:val="none"/>
        </w:rPr>
        <w:t>月</w:t>
      </w:r>
      <w:r>
        <w:rPr>
          <w:rFonts w:hint="eastAsia" w:ascii="仿宋" w:hAnsi="仿宋" w:eastAsia="仿宋"/>
          <w:color w:val="auto"/>
          <w:sz w:val="32"/>
          <w:szCs w:val="32"/>
          <w:highlight w:val="none"/>
        </w:rPr>
        <w:t>8</w:t>
      </w:r>
      <w:r>
        <w:rPr>
          <w:rFonts w:ascii="仿宋" w:hAnsi="仿宋" w:eastAsia="仿宋"/>
          <w:color w:val="auto"/>
          <w:sz w:val="32"/>
          <w:szCs w:val="32"/>
          <w:highlight w:val="none"/>
        </w:rPr>
        <w:t>日至2031年</w:t>
      </w:r>
      <w:r>
        <w:rPr>
          <w:rFonts w:hint="eastAsia" w:ascii="仿宋" w:hAnsi="仿宋" w:eastAsia="仿宋"/>
          <w:color w:val="auto"/>
          <w:sz w:val="32"/>
          <w:szCs w:val="32"/>
          <w:highlight w:val="none"/>
        </w:rPr>
        <w:t>5</w:t>
      </w:r>
      <w:r>
        <w:rPr>
          <w:rFonts w:ascii="仿宋" w:hAnsi="仿宋" w:eastAsia="仿宋"/>
          <w:color w:val="auto"/>
          <w:sz w:val="32"/>
          <w:szCs w:val="32"/>
          <w:highlight w:val="none"/>
        </w:rPr>
        <w:t>月</w:t>
      </w:r>
      <w:r>
        <w:rPr>
          <w:rFonts w:hint="eastAsia" w:ascii="仿宋" w:hAnsi="仿宋" w:eastAsia="仿宋"/>
          <w:color w:val="auto"/>
          <w:sz w:val="32"/>
          <w:szCs w:val="32"/>
          <w:highlight w:val="none"/>
        </w:rPr>
        <w:t>7</w:t>
      </w:r>
      <w:r>
        <w:rPr>
          <w:rFonts w:ascii="仿宋" w:hAnsi="仿宋" w:eastAsia="仿宋"/>
          <w:color w:val="auto"/>
          <w:sz w:val="32"/>
          <w:szCs w:val="32"/>
          <w:highlight w:val="none"/>
        </w:rPr>
        <w:t>日</w:t>
      </w:r>
      <w:r>
        <w:rPr>
          <w:rFonts w:hint="eastAsia" w:ascii="仿宋" w:hAnsi="仿宋" w:eastAsia="仿宋"/>
          <w:color w:val="auto"/>
          <w:sz w:val="32"/>
          <w:szCs w:val="32"/>
          <w:highlight w:val="none"/>
        </w:rPr>
        <w:t>。</w:t>
      </w:r>
    </w:p>
    <w:p w14:paraId="75E7A3F6">
      <w:pPr>
        <w:adjustRightInd w:val="0"/>
        <w:snapToGrid w:val="0"/>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（二）勘查区地质情况</w:t>
      </w:r>
    </w:p>
    <w:p w14:paraId="54BB8733">
      <w:pPr>
        <w:spacing w:line="360" w:lineRule="auto"/>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勘查区</w:t>
      </w:r>
      <w:r>
        <w:rPr>
          <w:rFonts w:hint="eastAsia" w:ascii="仿宋" w:hAnsi="仿宋" w:eastAsia="仿宋"/>
          <w:color w:val="auto"/>
          <w:sz w:val="32"/>
          <w:szCs w:val="32"/>
          <w:highlight w:val="none"/>
        </w:rPr>
        <w:t>位于桌子山背斜南延部分东翼，棋盘井逆断层和莫里苛乌素逆断层之间。</w:t>
      </w:r>
      <w:r>
        <w:rPr>
          <w:rFonts w:hint="eastAsia" w:ascii="仿宋" w:hAnsi="仿宋" w:eastAsia="仿宋"/>
          <w:color w:val="auto"/>
          <w:sz w:val="32"/>
          <w:szCs w:val="32"/>
          <w:highlight w:val="none"/>
          <w:lang w:val="en-US" w:eastAsia="zh-CN"/>
        </w:rPr>
        <w:t>出露地层有</w:t>
      </w:r>
      <w:r>
        <w:rPr>
          <w:rFonts w:hint="eastAsia" w:ascii="仿宋" w:hAnsi="仿宋" w:eastAsia="仿宋"/>
          <w:color w:val="auto"/>
          <w:sz w:val="32"/>
          <w:szCs w:val="32"/>
          <w:highlight w:val="none"/>
        </w:rPr>
        <w:t>上元古界青白口-震旦系西勒图组</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下古生界寒武系中下统馒头组、中统张夏组，寒武系上统-奥陶系下统</w:t>
      </w:r>
      <w:r>
        <w:rPr>
          <w:rFonts w:hint="eastAsia" w:ascii="仿宋" w:hAnsi="仿宋" w:eastAsia="仿宋"/>
          <w:color w:val="auto"/>
          <w:sz w:val="32"/>
          <w:szCs w:val="32"/>
          <w:highlight w:val="none"/>
          <w:lang w:val="zh-CN"/>
        </w:rPr>
        <w:t>三山子</w:t>
      </w:r>
      <w:r>
        <w:rPr>
          <w:rFonts w:hint="eastAsia" w:ascii="仿宋" w:hAnsi="仿宋" w:eastAsia="仿宋"/>
          <w:color w:val="auto"/>
          <w:sz w:val="32"/>
          <w:szCs w:val="32"/>
          <w:highlight w:val="none"/>
        </w:rPr>
        <w:t>组、奥陶系下统马家沟组，上古生界石炭系上统太原组、二叠系中-下统石盒子组，中生界白垩系下统志丹群以及第四系全新统。其中新元古界震旦青白口系西勒图组为本区石英岩矿的赋存层位</w:t>
      </w:r>
      <w:r>
        <w:rPr>
          <w:rFonts w:hint="eastAsia" w:ascii="仿宋" w:hAnsi="仿宋" w:eastAsia="仿宋"/>
          <w:color w:val="auto"/>
          <w:sz w:val="32"/>
          <w:szCs w:val="32"/>
          <w:highlight w:val="none"/>
          <w:lang w:val="en-US" w:eastAsia="zh-CN"/>
        </w:rPr>
        <w:t>。</w:t>
      </w:r>
    </w:p>
    <w:p w14:paraId="41A4B7A1">
      <w:pPr>
        <w:adjustRightInd w:val="0"/>
        <w:snapToGrid w:val="0"/>
        <w:spacing w:line="560" w:lineRule="exact"/>
        <w:ind w:firstLine="640" w:firstLineChars="200"/>
        <w:jc w:val="lef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olor w:val="auto"/>
          <w:sz w:val="32"/>
          <w:szCs w:val="32"/>
          <w:highlight w:val="none"/>
        </w:rPr>
        <w:t>地质特征与成矿条件</w:t>
      </w:r>
    </w:p>
    <w:p w14:paraId="1CB14993">
      <w:pPr>
        <w:spacing w:line="360" w:lineRule="auto"/>
        <w:ind w:firstLine="640" w:firstLineChars="200"/>
        <w:rPr>
          <w:rFonts w:hint="eastAsia" w:ascii="仿宋" w:hAnsi="仿宋" w:eastAsia="仿宋"/>
          <w:color w:val="auto"/>
          <w:sz w:val="32"/>
          <w:szCs w:val="32"/>
          <w:highlight w:val="none"/>
          <w:lang w:val="zh-CN" w:eastAsia="zh-CN"/>
        </w:rPr>
      </w:pPr>
      <w:bookmarkStart w:id="1" w:name="_Toc469321705"/>
      <w:bookmarkStart w:id="2" w:name="_Toc524683206"/>
      <w:bookmarkStart w:id="3" w:name="_Toc445892517"/>
      <w:r>
        <w:rPr>
          <w:rFonts w:hint="eastAsia" w:ascii="仿宋" w:hAnsi="仿宋" w:eastAsia="仿宋"/>
          <w:color w:val="auto"/>
          <w:sz w:val="32"/>
          <w:szCs w:val="32"/>
          <w:highlight w:val="none"/>
          <w:lang w:val="zh-CN" w:eastAsia="zh-CN"/>
        </w:rPr>
        <w:t>勘查区出露赋矿地层主要为</w:t>
      </w:r>
      <w:bookmarkEnd w:id="1"/>
      <w:bookmarkEnd w:id="2"/>
      <w:bookmarkEnd w:id="3"/>
      <w:r>
        <w:rPr>
          <w:rFonts w:hint="eastAsia" w:ascii="仿宋" w:hAnsi="仿宋" w:eastAsia="仿宋"/>
          <w:color w:val="auto"/>
          <w:sz w:val="32"/>
          <w:szCs w:val="32"/>
          <w:highlight w:val="none"/>
          <w:lang w:val="zh-CN" w:eastAsia="zh-CN"/>
        </w:rPr>
        <w:t>青白口-震旦系西勒图组，近南北向展布，为本区</w:t>
      </w:r>
      <w:r>
        <w:rPr>
          <w:rFonts w:hint="eastAsia" w:ascii="仿宋" w:hAnsi="仿宋" w:eastAsia="仿宋"/>
          <w:color w:val="auto"/>
          <w:sz w:val="32"/>
          <w:szCs w:val="32"/>
          <w:highlight w:val="none"/>
          <w:lang w:val="en-US" w:eastAsia="zh-CN"/>
        </w:rPr>
        <w:t>SY1号矿体</w:t>
      </w:r>
      <w:r>
        <w:rPr>
          <w:rFonts w:hint="eastAsia" w:ascii="仿宋" w:hAnsi="仿宋" w:eastAsia="仿宋"/>
          <w:color w:val="auto"/>
          <w:sz w:val="32"/>
          <w:szCs w:val="32"/>
          <w:highlight w:val="none"/>
          <w:lang w:val="zh-CN" w:eastAsia="zh-CN"/>
        </w:rPr>
        <w:t>赋矿地层。岩性主要为石英岩、含铁质石英岩。其地貌特征为山坡、沟谷、平台带状交织的山川地貌。矿区北偏西、西偏南山体顶部近似平台，其余大部山崖陡立，沟谷切割深。岩层见水平层理、斜交层理、波痕，为一套浅变质的滨海-浅海相碎屑岩。</w:t>
      </w:r>
      <w:r>
        <w:rPr>
          <w:rFonts w:hint="eastAsia" w:ascii="仿宋" w:hAnsi="仿宋" w:eastAsia="仿宋"/>
          <w:color w:val="auto"/>
          <w:sz w:val="32"/>
          <w:szCs w:val="32"/>
          <w:highlight w:val="none"/>
          <w:lang w:val="en-US" w:eastAsia="zh-CN"/>
        </w:rPr>
        <w:t>SY1号矿体</w:t>
      </w:r>
      <w:r>
        <w:rPr>
          <w:rFonts w:hint="eastAsia" w:ascii="仿宋" w:hAnsi="仿宋" w:eastAsia="仿宋"/>
          <w:color w:val="auto"/>
          <w:sz w:val="32"/>
          <w:szCs w:val="32"/>
          <w:highlight w:val="none"/>
          <w:lang w:val="zh-CN" w:eastAsia="zh-CN"/>
        </w:rPr>
        <w:t>总体走向</w:t>
      </w:r>
      <w:r>
        <w:rPr>
          <w:rFonts w:hint="eastAsia" w:ascii="仿宋" w:hAnsi="仿宋" w:eastAsia="仿宋"/>
          <w:color w:val="auto"/>
          <w:sz w:val="32"/>
          <w:szCs w:val="32"/>
          <w:highlight w:val="none"/>
          <w:lang w:val="en-US" w:eastAsia="zh-CN"/>
        </w:rPr>
        <w:t>34</w:t>
      </w:r>
      <w:r>
        <w:rPr>
          <w:rFonts w:hint="eastAsia" w:ascii="仿宋" w:hAnsi="仿宋" w:eastAsia="仿宋"/>
          <w:color w:val="auto"/>
          <w:sz w:val="32"/>
          <w:szCs w:val="32"/>
          <w:highlight w:val="none"/>
          <w:lang w:val="zh-CN" w:eastAsia="zh-CN"/>
        </w:rPr>
        <w:t>0°，背斜北西翼倾向250-280°，倾角5-27°。勘查区</w:t>
      </w:r>
      <w:r>
        <w:rPr>
          <w:rFonts w:hint="eastAsia" w:ascii="仿宋" w:hAnsi="仿宋" w:eastAsia="仿宋"/>
          <w:color w:val="auto"/>
          <w:sz w:val="32"/>
          <w:szCs w:val="32"/>
          <w:highlight w:val="none"/>
          <w:lang w:val="en-US" w:eastAsia="zh-CN"/>
        </w:rPr>
        <w:t>未见明显构造</w:t>
      </w:r>
      <w:r>
        <w:rPr>
          <w:rFonts w:hint="eastAsia" w:ascii="仿宋" w:hAnsi="仿宋" w:eastAsia="仿宋"/>
          <w:color w:val="auto"/>
          <w:sz w:val="32"/>
          <w:szCs w:val="32"/>
          <w:highlight w:val="none"/>
          <w:lang w:val="zh-CN" w:eastAsia="zh-CN"/>
        </w:rPr>
        <w:t>。勘查区未见岩浆岩。</w:t>
      </w:r>
    </w:p>
    <w:p w14:paraId="0078F02D">
      <w:pP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2、勘查成果</w:t>
      </w:r>
    </w:p>
    <w:p w14:paraId="393A3DAA">
      <w:pPr>
        <w:spacing w:line="360" w:lineRule="auto"/>
        <w:ind w:firstLine="640" w:firstLineChars="200"/>
        <w:rPr>
          <w:rFonts w:hint="eastAsia" w:ascii="仿宋" w:hAnsi="仿宋" w:eastAsia="仿宋"/>
          <w:color w:val="auto"/>
          <w:sz w:val="32"/>
          <w:szCs w:val="32"/>
          <w:highlight w:val="none"/>
          <w:lang w:val="zh-CN" w:eastAsia="zh-CN"/>
        </w:rPr>
      </w:pPr>
      <w:r>
        <w:rPr>
          <w:rFonts w:hint="eastAsia" w:ascii="仿宋" w:hAnsi="仿宋" w:eastAsia="仿宋"/>
          <w:color w:val="auto"/>
          <w:sz w:val="32"/>
          <w:szCs w:val="32"/>
          <w:highlight w:val="none"/>
          <w:lang w:val="en-US" w:eastAsia="zh-CN"/>
        </w:rPr>
        <w:t>2023年7月由内蒙古华远地质勘查技术有限责任公司提交的《内蒙古自治区鄂托克旗志兴硅石矿勘查区冶金熔剂用石英岩矿资源储量核实报告》，该报告于2023年8月31日，经鄂尔多斯市地质调查院评审通过，备案文号为：鄂自然资储备字[2023]21号，截止至2023年4月30日，累计查明资源量4173.7万吨，累计消耗资源量量217.1万吨，保有资源量3956.6万吨。工作量钻探15孔。</w:t>
      </w:r>
    </w:p>
    <w:p w14:paraId="63EDCAF4">
      <w:pPr>
        <w:spacing w:line="360" w:lineRule="auto"/>
        <w:ind w:firstLine="640" w:firstLineChars="200"/>
        <w:rPr>
          <w:rFonts w:hint="eastAsia" w:ascii="仿宋" w:hAnsi="仿宋" w:eastAsia="仿宋"/>
          <w:color w:val="auto"/>
          <w:sz w:val="32"/>
          <w:szCs w:val="32"/>
          <w:highlight w:val="none"/>
          <w:lang w:val="zh-CN" w:eastAsia="zh-CN"/>
        </w:rPr>
      </w:pPr>
      <w:r>
        <w:rPr>
          <w:rFonts w:hint="eastAsia" w:ascii="仿宋" w:hAnsi="仿宋" w:eastAsia="仿宋"/>
          <w:color w:val="auto"/>
          <w:sz w:val="32"/>
          <w:szCs w:val="32"/>
          <w:highlight w:val="none"/>
          <w:lang w:val="en-US" w:eastAsia="zh-CN"/>
        </w:rPr>
        <w:t>勘查区初步圈定了1条矿体，矿体编号为SY1号，青白口-震旦系西勒图组是石英岩矿的赋矿层位，岩矿层空间位置比较稳定，呈中厚层状或巨厚层状产出，层厚一般大于1m。矿层主要为缓倾斜单斜层，矿层空间位置稳定，延伸规律性强，呈厚层状，局部夹中薄层含铁石英岩，厚度1～3m不等，平均2m左右。矿层被风化剥蚀绝大部分裸露地表，剥蚀残余厚度呈</w:t>
      </w:r>
      <w:bookmarkStart w:id="4" w:name="_Hlk500574033"/>
      <w:r>
        <w:rPr>
          <w:rFonts w:hint="eastAsia" w:ascii="仿宋" w:hAnsi="仿宋" w:eastAsia="仿宋"/>
          <w:color w:val="auto"/>
          <w:sz w:val="32"/>
          <w:szCs w:val="32"/>
          <w:highlight w:val="none"/>
          <w:lang w:val="en-US" w:eastAsia="zh-CN"/>
        </w:rPr>
        <w:t>厚层板状体</w:t>
      </w:r>
      <w:bookmarkEnd w:id="4"/>
      <w:r>
        <w:rPr>
          <w:rFonts w:hint="eastAsia" w:ascii="仿宋" w:hAnsi="仿宋" w:eastAsia="仿宋"/>
          <w:color w:val="auto"/>
          <w:sz w:val="32"/>
          <w:szCs w:val="32"/>
          <w:highlight w:val="none"/>
          <w:lang w:val="en-US" w:eastAsia="zh-CN"/>
        </w:rPr>
        <w:t>产出，顶部局部被第四系残坡积砂石覆盖。控制矿体沿走向450m，沿倾向延伸300m；SY1号矿体总体走向340°，背斜北西翼倾向250</w:t>
      </w:r>
      <w:r>
        <w:rPr>
          <w:rFonts w:hint="eastAsia" w:ascii="仿宋" w:hAnsi="仿宋" w:eastAsia="仿宋"/>
          <w:color w:val="auto"/>
          <w:sz w:val="32"/>
          <w:szCs w:val="32"/>
          <w:highlight w:val="none"/>
          <w:lang w:val="zh-CN" w:eastAsia="zh-CN"/>
        </w:rPr>
        <w:t>～</w:t>
      </w:r>
      <w:r>
        <w:rPr>
          <w:rFonts w:hint="eastAsia" w:ascii="仿宋" w:hAnsi="仿宋" w:eastAsia="仿宋"/>
          <w:color w:val="auto"/>
          <w:sz w:val="32"/>
          <w:szCs w:val="32"/>
          <w:highlight w:val="none"/>
          <w:lang w:val="en-US" w:eastAsia="zh-CN"/>
        </w:rPr>
        <w:t>280°，倾角5</w:t>
      </w:r>
      <w:r>
        <w:rPr>
          <w:rFonts w:hint="eastAsia" w:ascii="仿宋" w:hAnsi="仿宋" w:eastAsia="仿宋"/>
          <w:color w:val="auto"/>
          <w:sz w:val="32"/>
          <w:szCs w:val="32"/>
          <w:highlight w:val="none"/>
          <w:lang w:val="zh-CN" w:eastAsia="zh-CN"/>
        </w:rPr>
        <w:t>～</w:t>
      </w:r>
      <w:r>
        <w:rPr>
          <w:rFonts w:hint="eastAsia" w:ascii="仿宋" w:hAnsi="仿宋" w:eastAsia="仿宋"/>
          <w:color w:val="auto"/>
          <w:sz w:val="32"/>
          <w:szCs w:val="32"/>
          <w:highlight w:val="none"/>
          <w:lang w:val="en-US" w:eastAsia="zh-CN"/>
        </w:rPr>
        <w:t>27°。控制矿层厚度42.37</w:t>
      </w:r>
      <w:r>
        <w:rPr>
          <w:rFonts w:hint="eastAsia" w:ascii="仿宋" w:hAnsi="仿宋" w:eastAsia="仿宋"/>
          <w:color w:val="auto"/>
          <w:sz w:val="32"/>
          <w:szCs w:val="32"/>
          <w:highlight w:val="none"/>
          <w:lang w:val="zh-CN" w:eastAsia="zh-CN"/>
        </w:rPr>
        <w:t>～</w:t>
      </w:r>
      <w:r>
        <w:rPr>
          <w:rFonts w:hint="eastAsia" w:ascii="仿宋" w:hAnsi="仿宋" w:eastAsia="仿宋"/>
          <w:color w:val="auto"/>
          <w:sz w:val="32"/>
          <w:szCs w:val="32"/>
          <w:highlight w:val="none"/>
          <w:lang w:val="en-US" w:eastAsia="zh-CN"/>
        </w:rPr>
        <w:t>83.99m，平均60.25m，厚度变化系数为23.77%，矿体厚度</w:t>
      </w:r>
      <w:bookmarkStart w:id="5" w:name="_Hlk500575634"/>
      <w:r>
        <w:rPr>
          <w:rFonts w:hint="eastAsia" w:ascii="仿宋" w:hAnsi="仿宋" w:eastAsia="仿宋"/>
          <w:color w:val="auto"/>
          <w:sz w:val="32"/>
          <w:szCs w:val="32"/>
          <w:highlight w:val="none"/>
          <w:lang w:val="en-US" w:eastAsia="zh-CN"/>
        </w:rPr>
        <w:t>延走向由南向北变厚，</w:t>
      </w:r>
      <w:bookmarkEnd w:id="5"/>
      <w:r>
        <w:rPr>
          <w:rFonts w:hint="eastAsia" w:ascii="仿宋" w:hAnsi="仿宋" w:eastAsia="仿宋"/>
          <w:color w:val="auto"/>
          <w:sz w:val="32"/>
          <w:szCs w:val="32"/>
          <w:highlight w:val="none"/>
          <w:lang w:val="en-US" w:eastAsia="zh-CN"/>
        </w:rPr>
        <w:t>延倾向由东向西变厚，厚度变化属于稳定型，内部结构简单。矿层局部发育的裂隙中有方解石脉充填，脉体展布方向无规律，其形态有脉状、树枝状。</w:t>
      </w:r>
    </w:p>
    <w:p w14:paraId="1A837E08">
      <w:pPr>
        <w:adjustRightInd w:val="0"/>
        <w:snapToGrid w:val="0"/>
        <w:spacing w:line="560" w:lineRule="exact"/>
        <w:ind w:firstLine="640" w:firstLineChars="200"/>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三、勘查工作情况</w:t>
      </w:r>
    </w:p>
    <w:p w14:paraId="76241583">
      <w:pPr>
        <w:spacing w:line="360" w:lineRule="auto"/>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根据区域成矿地质条件，结合勘查区的地层、构造、岩浆岩及矿化特征，本次《方案》的勘查目标主要为</w:t>
      </w:r>
      <w:r>
        <w:rPr>
          <w:rFonts w:hint="eastAsia" w:ascii="仿宋" w:hAnsi="仿宋" w:eastAsia="仿宋"/>
          <w:color w:val="auto"/>
          <w:sz w:val="32"/>
          <w:szCs w:val="32"/>
          <w:highlight w:val="none"/>
          <w:lang w:val="en-US" w:eastAsia="zh-CN"/>
        </w:rPr>
        <w:t>石英岩</w:t>
      </w:r>
      <w:r>
        <w:rPr>
          <w:rFonts w:hint="eastAsia" w:ascii="仿宋" w:hAnsi="仿宋" w:eastAsia="仿宋" w:cs="仿宋"/>
          <w:color w:val="auto"/>
          <w:sz w:val="32"/>
          <w:szCs w:val="32"/>
          <w:highlight w:val="none"/>
        </w:rPr>
        <w:t>矿，勘查目标较明确，符合勘查区的成矿地质条件。</w:t>
      </w:r>
      <w:r>
        <w:rPr>
          <w:rFonts w:hint="eastAsia" w:ascii="仿宋" w:hAnsi="仿宋" w:eastAsia="仿宋" w:cs="仿宋"/>
          <w:color w:val="auto"/>
          <w:sz w:val="32"/>
          <w:szCs w:val="32"/>
          <w:highlight w:val="none"/>
          <w:lang w:eastAsia="zh-CN"/>
        </w:rPr>
        <w:t>在</w:t>
      </w:r>
      <w:r>
        <w:rPr>
          <w:rFonts w:hint="eastAsia" w:ascii="仿宋" w:hAnsi="仿宋" w:eastAsia="仿宋" w:cs="仿宋"/>
          <w:color w:val="auto"/>
          <w:sz w:val="32"/>
          <w:szCs w:val="32"/>
          <w:highlight w:val="none"/>
          <w:lang w:val="en-US" w:eastAsia="zh-CN"/>
        </w:rPr>
        <w:t>以往工作的基础上，</w:t>
      </w:r>
      <w:r>
        <w:rPr>
          <w:rFonts w:hint="eastAsia" w:ascii="仿宋" w:hAnsi="仿宋" w:eastAsia="仿宋" w:cs="仿宋"/>
          <w:color w:val="auto"/>
          <w:sz w:val="32"/>
          <w:szCs w:val="32"/>
          <w:highlight w:val="none"/>
        </w:rPr>
        <w:t>主要工作方法为大比例尺地质测量</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浅表工程</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钻探等工作，认为《方案》确定的勘查方法、手段合理，具有一定的可操作性。工作部署及其工作量安排基本符合勘查区实际情况。勘查区位于鄂托克旗西部，《方案》中对绿色勘查工作方法的选定较为合理，以最大限度的保护自然环境。通过该《方案》的实施，以期实现对石灰岩矿的增储，预期地质成果较为合理。设计主要实物工作量见表1。</w:t>
      </w:r>
    </w:p>
    <w:p w14:paraId="1FC0DDD5">
      <w:pPr>
        <w:spacing w:line="360" w:lineRule="auto"/>
        <w:ind w:firstLine="576" w:firstLineChars="200"/>
        <w:rPr>
          <w:rFonts w:hint="eastAsia" w:ascii="仿宋" w:hAnsi="仿宋" w:eastAsia="仿宋" w:cs="宋体"/>
          <w:color w:val="auto"/>
          <w:spacing w:val="-6"/>
          <w:sz w:val="30"/>
          <w:szCs w:val="30"/>
          <w:highlight w:val="none"/>
        </w:rPr>
      </w:pPr>
      <w:r>
        <w:rPr>
          <w:rFonts w:hint="eastAsia" w:ascii="仿宋" w:hAnsi="仿宋" w:eastAsia="仿宋" w:cs="宋体"/>
          <w:color w:val="auto"/>
          <w:spacing w:val="-6"/>
          <w:sz w:val="30"/>
          <w:szCs w:val="30"/>
          <w:highlight w:val="none"/>
        </w:rPr>
        <w:t>表1          设计主要实物工作量一览表</w:t>
      </w:r>
    </w:p>
    <w:tbl>
      <w:tblPr>
        <w:tblStyle w:val="9"/>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09"/>
        <w:gridCol w:w="2618"/>
        <w:gridCol w:w="2410"/>
        <w:gridCol w:w="992"/>
        <w:gridCol w:w="1417"/>
      </w:tblGrid>
      <w:tr w14:paraId="2388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34" w:type="dxa"/>
            <w:noWrap w:val="0"/>
            <w:vAlign w:val="center"/>
          </w:tcPr>
          <w:p w14:paraId="633B3A1D">
            <w:pPr>
              <w:adjustRightInd w:val="0"/>
              <w:snapToGrid w:val="0"/>
              <w:spacing w:line="240" w:lineRule="atLeast"/>
              <w:ind w:firstLine="0" w:firstLineChars="0"/>
              <w:jc w:val="center"/>
              <w:rPr>
                <w:rFonts w:ascii="宋体" w:hAnsi="宋体"/>
                <w:b/>
                <w:color w:val="auto"/>
                <w:sz w:val="24"/>
                <w:highlight w:val="none"/>
              </w:rPr>
            </w:pPr>
            <w:r>
              <w:rPr>
                <w:rFonts w:hint="eastAsia" w:ascii="宋体" w:hAnsi="宋体"/>
                <w:b/>
                <w:color w:val="auto"/>
                <w:sz w:val="24"/>
                <w:highlight w:val="none"/>
              </w:rPr>
              <w:t>序号</w:t>
            </w:r>
          </w:p>
        </w:tc>
        <w:tc>
          <w:tcPr>
            <w:tcW w:w="1209" w:type="dxa"/>
            <w:noWrap w:val="0"/>
            <w:vAlign w:val="center"/>
          </w:tcPr>
          <w:p w14:paraId="1C330AAF">
            <w:pPr>
              <w:adjustRightInd w:val="0"/>
              <w:snapToGrid w:val="0"/>
              <w:spacing w:line="240" w:lineRule="atLeast"/>
              <w:ind w:firstLine="0" w:firstLineChars="0"/>
              <w:jc w:val="center"/>
              <w:rPr>
                <w:rFonts w:ascii="宋体" w:hAnsi="宋体"/>
                <w:b/>
                <w:color w:val="auto"/>
                <w:sz w:val="24"/>
                <w:highlight w:val="none"/>
              </w:rPr>
            </w:pPr>
            <w:r>
              <w:rPr>
                <w:rFonts w:ascii="宋体" w:hAnsi="宋体"/>
                <w:b/>
                <w:color w:val="auto"/>
                <w:sz w:val="24"/>
                <w:highlight w:val="none"/>
              </w:rPr>
              <w:t>工作</w:t>
            </w:r>
            <w:r>
              <w:rPr>
                <w:rFonts w:hint="eastAsia" w:ascii="宋体" w:hAnsi="宋体"/>
                <w:b/>
                <w:color w:val="auto"/>
                <w:sz w:val="24"/>
                <w:highlight w:val="none"/>
              </w:rPr>
              <w:t>手段</w:t>
            </w:r>
          </w:p>
        </w:tc>
        <w:tc>
          <w:tcPr>
            <w:tcW w:w="2618" w:type="dxa"/>
            <w:noWrap w:val="0"/>
            <w:vAlign w:val="center"/>
          </w:tcPr>
          <w:p w14:paraId="017A6ED7">
            <w:pPr>
              <w:adjustRightInd w:val="0"/>
              <w:snapToGrid w:val="0"/>
              <w:spacing w:line="240" w:lineRule="atLeast"/>
              <w:ind w:firstLine="0" w:firstLineChars="0"/>
              <w:jc w:val="center"/>
              <w:rPr>
                <w:rFonts w:hint="eastAsia" w:ascii="宋体" w:hAnsi="宋体"/>
                <w:b/>
                <w:color w:val="auto"/>
                <w:sz w:val="24"/>
                <w:highlight w:val="none"/>
              </w:rPr>
            </w:pPr>
            <w:r>
              <w:rPr>
                <w:rFonts w:hint="eastAsia" w:ascii="宋体" w:hAnsi="宋体"/>
                <w:b/>
                <w:color w:val="auto"/>
                <w:sz w:val="24"/>
                <w:highlight w:val="none"/>
              </w:rPr>
              <w:t>工作内容</w:t>
            </w:r>
          </w:p>
        </w:tc>
        <w:tc>
          <w:tcPr>
            <w:tcW w:w="2410" w:type="dxa"/>
            <w:noWrap w:val="0"/>
            <w:vAlign w:val="center"/>
          </w:tcPr>
          <w:p w14:paraId="1DEB3EC2">
            <w:pPr>
              <w:adjustRightInd w:val="0"/>
              <w:snapToGrid w:val="0"/>
              <w:spacing w:line="240" w:lineRule="atLeast"/>
              <w:ind w:firstLine="0" w:firstLineChars="0"/>
              <w:jc w:val="center"/>
              <w:rPr>
                <w:rFonts w:ascii="宋体" w:hAnsi="宋体"/>
                <w:b/>
                <w:color w:val="auto"/>
                <w:sz w:val="24"/>
                <w:highlight w:val="none"/>
              </w:rPr>
            </w:pPr>
            <w:r>
              <w:rPr>
                <w:rFonts w:hint="eastAsia" w:ascii="宋体" w:hAnsi="宋体"/>
                <w:b/>
                <w:color w:val="auto"/>
                <w:sz w:val="24"/>
                <w:highlight w:val="none"/>
              </w:rPr>
              <w:t>技术要求</w:t>
            </w:r>
          </w:p>
        </w:tc>
        <w:tc>
          <w:tcPr>
            <w:tcW w:w="992" w:type="dxa"/>
            <w:noWrap w:val="0"/>
            <w:vAlign w:val="center"/>
          </w:tcPr>
          <w:p w14:paraId="53AD7FAD">
            <w:pPr>
              <w:adjustRightInd w:val="0"/>
              <w:snapToGrid w:val="0"/>
              <w:spacing w:line="240" w:lineRule="atLeast"/>
              <w:ind w:firstLine="0" w:firstLineChars="0"/>
              <w:jc w:val="center"/>
              <w:rPr>
                <w:rFonts w:ascii="宋体" w:hAnsi="宋体"/>
                <w:b/>
                <w:color w:val="auto"/>
                <w:sz w:val="24"/>
                <w:highlight w:val="none"/>
              </w:rPr>
            </w:pPr>
            <w:r>
              <w:rPr>
                <w:rFonts w:hint="eastAsia" w:ascii="宋体" w:hAnsi="宋体"/>
                <w:b/>
                <w:color w:val="auto"/>
                <w:sz w:val="24"/>
                <w:highlight w:val="none"/>
              </w:rPr>
              <w:t>单位</w:t>
            </w:r>
          </w:p>
        </w:tc>
        <w:tc>
          <w:tcPr>
            <w:tcW w:w="1417" w:type="dxa"/>
            <w:noWrap w:val="0"/>
            <w:vAlign w:val="center"/>
          </w:tcPr>
          <w:p w14:paraId="02B58AA2">
            <w:pPr>
              <w:adjustRightInd w:val="0"/>
              <w:snapToGrid w:val="0"/>
              <w:spacing w:line="240" w:lineRule="atLeast"/>
              <w:ind w:firstLine="0" w:firstLineChars="0"/>
              <w:jc w:val="center"/>
              <w:rPr>
                <w:rFonts w:hint="eastAsia" w:ascii="宋体" w:hAnsi="宋体"/>
                <w:b/>
                <w:color w:val="auto"/>
                <w:kern w:val="2"/>
                <w:sz w:val="24"/>
                <w:szCs w:val="24"/>
                <w:highlight w:val="none"/>
                <w:lang w:val="en-US" w:eastAsia="zh-CN" w:bidi="ar-SA"/>
              </w:rPr>
            </w:pPr>
            <w:r>
              <w:rPr>
                <w:rFonts w:ascii="宋体" w:hAnsi="宋体"/>
                <w:b/>
                <w:color w:val="auto"/>
                <w:sz w:val="24"/>
                <w:highlight w:val="none"/>
              </w:rPr>
              <w:t>工程量</w:t>
            </w:r>
          </w:p>
        </w:tc>
      </w:tr>
      <w:tr w14:paraId="7279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534" w:type="dxa"/>
            <w:vMerge w:val="restart"/>
            <w:noWrap w:val="0"/>
            <w:vAlign w:val="center"/>
          </w:tcPr>
          <w:p w14:paraId="18A7A9CC">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sz w:val="24"/>
                <w:highlight w:val="none"/>
              </w:rPr>
              <w:t>1</w:t>
            </w:r>
          </w:p>
        </w:tc>
        <w:tc>
          <w:tcPr>
            <w:tcW w:w="1209" w:type="dxa"/>
            <w:vMerge w:val="restart"/>
            <w:noWrap w:val="0"/>
            <w:vAlign w:val="center"/>
          </w:tcPr>
          <w:p w14:paraId="023044EF">
            <w:pPr>
              <w:adjustRightInd w:val="0"/>
              <w:snapToGrid w:val="0"/>
              <w:spacing w:line="240" w:lineRule="atLeast"/>
              <w:ind w:firstLine="0" w:firstLineChars="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测量</w:t>
            </w:r>
          </w:p>
        </w:tc>
        <w:tc>
          <w:tcPr>
            <w:tcW w:w="2618" w:type="dxa"/>
            <w:noWrap w:val="0"/>
            <w:vAlign w:val="center"/>
          </w:tcPr>
          <w:p w14:paraId="740741BC">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工程点测量</w:t>
            </w:r>
          </w:p>
        </w:tc>
        <w:tc>
          <w:tcPr>
            <w:tcW w:w="2410" w:type="dxa"/>
            <w:vMerge w:val="restart"/>
            <w:noWrap w:val="0"/>
            <w:vAlign w:val="center"/>
          </w:tcPr>
          <w:p w14:paraId="71143E66">
            <w:pPr>
              <w:adjustRightInd w:val="0"/>
              <w:snapToGrid w:val="0"/>
              <w:spacing w:line="240" w:lineRule="atLeast"/>
              <w:ind w:firstLine="0" w:firstLineChars="0"/>
              <w:jc w:val="left"/>
              <w:rPr>
                <w:rFonts w:hint="eastAsia" w:ascii="宋体" w:hAnsi="宋体" w:eastAsia="宋体"/>
                <w:color w:val="auto"/>
                <w:sz w:val="24"/>
                <w:highlight w:val="none"/>
                <w:lang w:val="en-US" w:eastAsia="zh-CN"/>
              </w:rPr>
            </w:pPr>
            <w:r>
              <w:rPr>
                <w:rFonts w:hint="eastAsia" w:ascii="宋体" w:hAnsi="宋体" w:eastAsia="宋体" w:cs="Times New Roman"/>
                <w:color w:val="auto"/>
                <w:kern w:val="0"/>
                <w:sz w:val="24"/>
                <w:highlight w:val="none"/>
                <w:lang w:val="en-US" w:eastAsia="zh-CN"/>
              </w:rPr>
              <w:t>符合</w:t>
            </w:r>
            <w:r>
              <w:rPr>
                <w:rFonts w:hint="eastAsia" w:ascii="宋体" w:hAnsi="宋体" w:eastAsia="宋体" w:cs="Times New Roman"/>
                <w:color w:val="auto"/>
                <w:kern w:val="0"/>
                <w:sz w:val="24"/>
                <w:highlight w:val="none"/>
              </w:rPr>
              <w:t>《地质</w:t>
            </w:r>
            <w:r>
              <w:rPr>
                <w:rFonts w:hint="eastAsia" w:ascii="宋体" w:hAnsi="宋体" w:eastAsia="宋体" w:cs="Times New Roman"/>
                <w:color w:val="auto"/>
                <w:kern w:val="0"/>
                <w:sz w:val="24"/>
                <w:highlight w:val="none"/>
                <w:lang w:eastAsia="zh-CN"/>
              </w:rPr>
              <w:t>矿产</w:t>
            </w:r>
            <w:r>
              <w:rPr>
                <w:rFonts w:hint="eastAsia" w:ascii="宋体" w:hAnsi="宋体" w:eastAsia="宋体" w:cs="Times New Roman"/>
                <w:color w:val="auto"/>
                <w:kern w:val="0"/>
                <w:sz w:val="24"/>
                <w:highlight w:val="none"/>
              </w:rPr>
              <w:t>勘查</w:t>
            </w:r>
            <w:r>
              <w:rPr>
                <w:rFonts w:hint="eastAsia" w:ascii="宋体" w:hAnsi="宋体" w:eastAsia="宋体" w:cs="Times New Roman"/>
                <w:color w:val="auto"/>
                <w:kern w:val="0"/>
                <w:sz w:val="24"/>
                <w:highlight w:val="none"/>
                <w:lang w:eastAsia="zh-CN"/>
              </w:rPr>
              <w:t>测量规范</w:t>
            </w:r>
            <w:r>
              <w:rPr>
                <w:rFonts w:hint="eastAsia" w:ascii="宋体" w:hAnsi="宋体" w:eastAsia="宋体" w:cs="Times New Roman"/>
                <w:color w:val="auto"/>
                <w:kern w:val="0"/>
                <w:sz w:val="24"/>
                <w:highlight w:val="none"/>
              </w:rPr>
              <w:t>》（DZ/T1</w:t>
            </w:r>
            <w:r>
              <w:rPr>
                <w:rFonts w:hint="eastAsia" w:ascii="宋体" w:hAnsi="宋体" w:eastAsia="宋体" w:cs="Times New Roman"/>
                <w:color w:val="auto"/>
                <w:kern w:val="0"/>
                <w:sz w:val="24"/>
                <w:highlight w:val="none"/>
                <w:lang w:val="en-US" w:eastAsia="zh-CN"/>
              </w:rPr>
              <w:t>8341</w:t>
            </w:r>
            <w:r>
              <w:rPr>
                <w:rFonts w:hint="eastAsia" w:ascii="宋体" w:hAnsi="宋体" w:eastAsia="宋体" w:cs="Times New Roman"/>
                <w:color w:val="auto"/>
                <w:kern w:val="0"/>
                <w:sz w:val="24"/>
                <w:highlight w:val="none"/>
              </w:rPr>
              <w:t>-2021）技术要求</w:t>
            </w:r>
          </w:p>
        </w:tc>
        <w:tc>
          <w:tcPr>
            <w:tcW w:w="992" w:type="dxa"/>
            <w:noWrap w:val="0"/>
            <w:vAlign w:val="center"/>
          </w:tcPr>
          <w:p w14:paraId="4D0A54F5">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点</w:t>
            </w:r>
          </w:p>
        </w:tc>
        <w:tc>
          <w:tcPr>
            <w:tcW w:w="1417" w:type="dxa"/>
            <w:noWrap w:val="0"/>
            <w:vAlign w:val="center"/>
          </w:tcPr>
          <w:p w14:paraId="1CE291D5">
            <w:pPr>
              <w:adjustRightInd w:val="0"/>
              <w:snapToGrid w:val="0"/>
              <w:spacing w:line="240" w:lineRule="atLeast"/>
              <w:ind w:firstLine="0" w:firstLineChars="0"/>
              <w:jc w:val="center"/>
              <w:rPr>
                <w:rFonts w:hint="default"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20</w:t>
            </w:r>
            <w:r>
              <w:rPr>
                <w:rFonts w:hint="eastAsia" w:ascii="宋体" w:hAnsi="宋体"/>
                <w:color w:val="auto"/>
                <w:sz w:val="24"/>
                <w:highlight w:val="none"/>
              </w:rPr>
              <w:t>～</w:t>
            </w:r>
            <w:r>
              <w:rPr>
                <w:rFonts w:hint="eastAsia" w:ascii="宋体" w:hAnsi="宋体"/>
                <w:color w:val="auto"/>
                <w:sz w:val="24"/>
                <w:highlight w:val="none"/>
                <w:lang w:val="en-US" w:eastAsia="zh-CN"/>
              </w:rPr>
              <w:t>30</w:t>
            </w:r>
          </w:p>
        </w:tc>
      </w:tr>
      <w:tr w14:paraId="22C6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34" w:type="dxa"/>
            <w:vMerge w:val="continue"/>
            <w:noWrap w:val="0"/>
            <w:vAlign w:val="center"/>
          </w:tcPr>
          <w:p w14:paraId="181CAAAA">
            <w:pPr>
              <w:adjustRightInd w:val="0"/>
              <w:snapToGrid w:val="0"/>
              <w:spacing w:line="240" w:lineRule="atLeast"/>
              <w:ind w:firstLine="0" w:firstLineChars="0"/>
              <w:jc w:val="center"/>
              <w:rPr>
                <w:rFonts w:hint="eastAsia" w:ascii="宋体" w:hAnsi="宋体"/>
                <w:color w:val="auto"/>
                <w:sz w:val="24"/>
                <w:highlight w:val="none"/>
              </w:rPr>
            </w:pPr>
          </w:p>
        </w:tc>
        <w:tc>
          <w:tcPr>
            <w:tcW w:w="1209" w:type="dxa"/>
            <w:vMerge w:val="continue"/>
            <w:noWrap w:val="0"/>
            <w:vAlign w:val="center"/>
          </w:tcPr>
          <w:p w14:paraId="6AE049F5">
            <w:pPr>
              <w:adjustRightInd w:val="0"/>
              <w:snapToGrid w:val="0"/>
              <w:spacing w:line="240" w:lineRule="atLeast"/>
              <w:ind w:firstLine="0" w:firstLineChars="0"/>
              <w:jc w:val="center"/>
              <w:rPr>
                <w:rFonts w:hint="eastAsia" w:ascii="宋体" w:hAnsi="宋体"/>
                <w:color w:val="auto"/>
                <w:sz w:val="24"/>
                <w:highlight w:val="none"/>
              </w:rPr>
            </w:pPr>
          </w:p>
        </w:tc>
        <w:tc>
          <w:tcPr>
            <w:tcW w:w="2618" w:type="dxa"/>
            <w:noWrap w:val="0"/>
            <w:vAlign w:val="center"/>
          </w:tcPr>
          <w:p w14:paraId="78050DDE">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rPr>
              <w:t>1:2000地形测量</w:t>
            </w:r>
          </w:p>
        </w:tc>
        <w:tc>
          <w:tcPr>
            <w:tcW w:w="2410" w:type="dxa"/>
            <w:vMerge w:val="continue"/>
            <w:noWrap w:val="0"/>
            <w:vAlign w:val="center"/>
          </w:tcPr>
          <w:p w14:paraId="2B579D48">
            <w:pPr>
              <w:adjustRightInd w:val="0"/>
              <w:snapToGrid w:val="0"/>
              <w:spacing w:line="240" w:lineRule="atLeast"/>
              <w:ind w:firstLine="0" w:firstLineChars="0"/>
              <w:jc w:val="center"/>
              <w:rPr>
                <w:rFonts w:hint="eastAsia" w:ascii="宋体" w:hAnsi="宋体"/>
                <w:color w:val="auto"/>
                <w:sz w:val="24"/>
                <w:highlight w:val="none"/>
              </w:rPr>
            </w:pPr>
          </w:p>
        </w:tc>
        <w:tc>
          <w:tcPr>
            <w:tcW w:w="992" w:type="dxa"/>
            <w:noWrap w:val="0"/>
            <w:vAlign w:val="center"/>
          </w:tcPr>
          <w:p w14:paraId="41210CE9">
            <w:pPr>
              <w:adjustRightInd w:val="0"/>
              <w:snapToGrid w:val="0"/>
              <w:spacing w:line="240" w:lineRule="atLeast"/>
              <w:ind w:left="0" w:leftChars="0" w:firstLine="0" w:firstLineChars="0"/>
              <w:jc w:val="center"/>
              <w:rPr>
                <w:rFonts w:hint="eastAsia" w:ascii="宋体" w:hAnsi="宋体"/>
                <w:color w:val="auto"/>
                <w:sz w:val="24"/>
                <w:highlight w:val="none"/>
              </w:rPr>
            </w:pPr>
            <w:r>
              <w:rPr>
                <w:rFonts w:hint="eastAsia" w:ascii="宋体" w:hAnsi="宋体"/>
                <w:color w:val="auto"/>
                <w:highlight w:val="none"/>
              </w:rPr>
              <w:t>k</w:t>
            </w:r>
            <w:r>
              <w:rPr>
                <w:rFonts w:ascii="宋体" w:hAnsi="宋体"/>
                <w:color w:val="auto"/>
                <w:sz w:val="24"/>
                <w:highlight w:val="none"/>
              </w:rPr>
              <w:t>m</w:t>
            </w:r>
            <w:r>
              <w:rPr>
                <w:rFonts w:ascii="宋体" w:hAnsi="宋体"/>
                <w:color w:val="auto"/>
                <w:sz w:val="24"/>
                <w:highlight w:val="none"/>
                <w:vertAlign w:val="superscript"/>
              </w:rPr>
              <w:t>2</w:t>
            </w:r>
          </w:p>
        </w:tc>
        <w:tc>
          <w:tcPr>
            <w:tcW w:w="1417" w:type="dxa"/>
            <w:noWrap w:val="0"/>
            <w:vAlign w:val="center"/>
          </w:tcPr>
          <w:p w14:paraId="4A63F866">
            <w:pPr>
              <w:adjustRightInd w:val="0"/>
              <w:snapToGrid w:val="0"/>
              <w:spacing w:line="240" w:lineRule="atLeast"/>
              <w:ind w:left="0" w:leftChars="0"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lang w:eastAsia="zh-CN"/>
              </w:rPr>
              <w:t>0.0786</w:t>
            </w:r>
          </w:p>
        </w:tc>
      </w:tr>
      <w:tr w14:paraId="030D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34" w:type="dxa"/>
            <w:vMerge w:val="restart"/>
            <w:noWrap w:val="0"/>
            <w:vAlign w:val="center"/>
          </w:tcPr>
          <w:p w14:paraId="21458651">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sz w:val="24"/>
                <w:highlight w:val="none"/>
              </w:rPr>
              <w:t>2</w:t>
            </w:r>
          </w:p>
        </w:tc>
        <w:tc>
          <w:tcPr>
            <w:tcW w:w="1209" w:type="dxa"/>
            <w:vMerge w:val="restart"/>
            <w:noWrap w:val="0"/>
            <w:vAlign w:val="center"/>
          </w:tcPr>
          <w:p w14:paraId="30D7F10D">
            <w:pPr>
              <w:adjustRightInd w:val="0"/>
              <w:snapToGrid w:val="0"/>
              <w:spacing w:line="240" w:lineRule="atLeast"/>
              <w:ind w:firstLine="0" w:firstLineChars="0"/>
              <w:jc w:val="center"/>
              <w:rPr>
                <w:rFonts w:ascii="宋体" w:hAnsi="宋体"/>
                <w:color w:val="auto"/>
                <w:sz w:val="24"/>
                <w:highlight w:val="none"/>
              </w:rPr>
            </w:pPr>
            <w:r>
              <w:rPr>
                <w:rFonts w:hint="eastAsia" w:ascii="宋体" w:hAnsi="宋体"/>
                <w:color w:val="auto"/>
                <w:sz w:val="24"/>
                <w:highlight w:val="none"/>
              </w:rPr>
              <w:t>地质测量</w:t>
            </w:r>
          </w:p>
        </w:tc>
        <w:tc>
          <w:tcPr>
            <w:tcW w:w="2618" w:type="dxa"/>
            <w:noWrap w:val="0"/>
            <w:vAlign w:val="center"/>
          </w:tcPr>
          <w:p w14:paraId="2DCDD2CA">
            <w:pPr>
              <w:adjustRightInd w:val="0"/>
              <w:snapToGrid w:val="0"/>
              <w:spacing w:line="240" w:lineRule="atLeast"/>
              <w:ind w:firstLine="0" w:firstLineChars="0"/>
              <w:jc w:val="center"/>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:2</w:t>
            </w:r>
            <w:r>
              <w:rPr>
                <w:rFonts w:hint="eastAsia" w:ascii="宋体" w:hAnsi="宋体"/>
                <w:color w:val="auto"/>
                <w:kern w:val="0"/>
                <w:sz w:val="24"/>
                <w:highlight w:val="none"/>
              </w:rPr>
              <w:t>000</w:t>
            </w:r>
            <w:r>
              <w:rPr>
                <w:rFonts w:ascii="宋体" w:hAnsi="宋体"/>
                <w:color w:val="auto"/>
                <w:sz w:val="24"/>
                <w:highlight w:val="none"/>
              </w:rPr>
              <w:t>专项</w:t>
            </w:r>
            <w:r>
              <w:rPr>
                <w:rFonts w:hint="eastAsia" w:ascii="宋体" w:hAnsi="宋体"/>
                <w:color w:val="auto"/>
                <w:sz w:val="24"/>
                <w:highlight w:val="none"/>
                <w:lang w:val="en-US" w:eastAsia="zh-CN"/>
              </w:rPr>
              <w:t>地质</w:t>
            </w:r>
            <w:r>
              <w:rPr>
                <w:rFonts w:ascii="宋体" w:hAnsi="宋体"/>
                <w:color w:val="auto"/>
                <w:sz w:val="24"/>
                <w:highlight w:val="none"/>
              </w:rPr>
              <w:t>测量</w:t>
            </w:r>
          </w:p>
        </w:tc>
        <w:tc>
          <w:tcPr>
            <w:tcW w:w="2410" w:type="dxa"/>
            <w:noWrap w:val="0"/>
            <w:vAlign w:val="top"/>
          </w:tcPr>
          <w:p w14:paraId="6FD56A6E">
            <w:pPr>
              <w:adjustRightInd w:val="0"/>
              <w:snapToGrid w:val="0"/>
              <w:spacing w:line="240" w:lineRule="atLeast"/>
              <w:ind w:firstLine="0" w:firstLineChars="0"/>
              <w:jc w:val="left"/>
              <w:rPr>
                <w:rFonts w:hint="eastAsia" w:ascii="宋体" w:hAnsi="宋体"/>
                <w:color w:val="auto"/>
                <w:sz w:val="24"/>
                <w:highlight w:val="none"/>
              </w:rPr>
            </w:pPr>
            <w:r>
              <w:rPr>
                <w:rFonts w:hint="eastAsia" w:ascii="宋体" w:hAnsi="宋体" w:eastAsia="宋体" w:cs="Times New Roman"/>
                <w:color w:val="auto"/>
                <w:kern w:val="0"/>
                <w:sz w:val="24"/>
                <w:highlight w:val="none"/>
                <w:lang w:val="en-US" w:eastAsia="zh-CN"/>
              </w:rPr>
              <w:t>《固体矿产勘查工作规范》（GB/T 33444-2016）</w:t>
            </w:r>
          </w:p>
        </w:tc>
        <w:tc>
          <w:tcPr>
            <w:tcW w:w="992" w:type="dxa"/>
            <w:noWrap w:val="0"/>
            <w:vAlign w:val="center"/>
          </w:tcPr>
          <w:p w14:paraId="4108B0A2">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highlight w:val="none"/>
              </w:rPr>
              <w:t>k</w:t>
            </w:r>
            <w:r>
              <w:rPr>
                <w:rFonts w:ascii="宋体" w:hAnsi="宋体"/>
                <w:color w:val="auto"/>
                <w:sz w:val="24"/>
                <w:highlight w:val="none"/>
              </w:rPr>
              <w:t>m</w:t>
            </w:r>
            <w:r>
              <w:rPr>
                <w:rFonts w:ascii="宋体" w:hAnsi="宋体"/>
                <w:color w:val="auto"/>
                <w:sz w:val="24"/>
                <w:highlight w:val="none"/>
                <w:vertAlign w:val="superscript"/>
              </w:rPr>
              <w:t>2</w:t>
            </w:r>
          </w:p>
        </w:tc>
        <w:tc>
          <w:tcPr>
            <w:tcW w:w="1417" w:type="dxa"/>
            <w:noWrap w:val="0"/>
            <w:vAlign w:val="center"/>
          </w:tcPr>
          <w:p w14:paraId="074216BE">
            <w:pPr>
              <w:adjustRightInd w:val="0"/>
              <w:snapToGrid w:val="0"/>
              <w:spacing w:line="240" w:lineRule="atLeast"/>
              <w:ind w:firstLine="0" w:firstLineChars="0"/>
              <w:jc w:val="center"/>
              <w:rPr>
                <w:rFonts w:hint="default"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0.0786</w:t>
            </w:r>
          </w:p>
        </w:tc>
      </w:tr>
      <w:tr w14:paraId="3C26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34" w:type="dxa"/>
            <w:vMerge w:val="continue"/>
            <w:noWrap w:val="0"/>
            <w:vAlign w:val="center"/>
          </w:tcPr>
          <w:p w14:paraId="258AED88">
            <w:pPr>
              <w:adjustRightInd w:val="0"/>
              <w:snapToGrid w:val="0"/>
              <w:spacing w:line="240" w:lineRule="atLeast"/>
              <w:ind w:firstLine="0" w:firstLineChars="0"/>
              <w:jc w:val="center"/>
              <w:rPr>
                <w:rFonts w:hint="eastAsia" w:ascii="宋体" w:hAnsi="宋体"/>
                <w:color w:val="auto"/>
                <w:sz w:val="24"/>
                <w:highlight w:val="none"/>
              </w:rPr>
            </w:pPr>
          </w:p>
        </w:tc>
        <w:tc>
          <w:tcPr>
            <w:tcW w:w="1209" w:type="dxa"/>
            <w:vMerge w:val="continue"/>
            <w:noWrap w:val="0"/>
            <w:vAlign w:val="center"/>
          </w:tcPr>
          <w:p w14:paraId="3170A3A4">
            <w:pPr>
              <w:adjustRightInd w:val="0"/>
              <w:snapToGrid w:val="0"/>
              <w:spacing w:line="240" w:lineRule="atLeast"/>
              <w:ind w:firstLine="0" w:firstLineChars="0"/>
              <w:jc w:val="center"/>
              <w:rPr>
                <w:rFonts w:hint="eastAsia" w:ascii="宋体" w:hAnsi="宋体"/>
                <w:color w:val="auto"/>
                <w:sz w:val="24"/>
                <w:highlight w:val="none"/>
              </w:rPr>
            </w:pPr>
          </w:p>
        </w:tc>
        <w:tc>
          <w:tcPr>
            <w:tcW w:w="2618" w:type="dxa"/>
            <w:noWrap w:val="0"/>
            <w:vAlign w:val="center"/>
          </w:tcPr>
          <w:p w14:paraId="562DC5FC">
            <w:pPr>
              <w:adjustRightInd w:val="0"/>
              <w:snapToGrid w:val="0"/>
              <w:spacing w:line="240" w:lineRule="atLeast"/>
              <w:ind w:firstLine="0" w:firstLineChars="0"/>
              <w:jc w:val="center"/>
              <w:rPr>
                <w:rFonts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:2</w:t>
            </w:r>
            <w:r>
              <w:rPr>
                <w:rFonts w:hint="eastAsia" w:ascii="宋体" w:hAnsi="宋体"/>
                <w:color w:val="auto"/>
                <w:kern w:val="0"/>
                <w:sz w:val="24"/>
                <w:highlight w:val="none"/>
              </w:rPr>
              <w:t>000</w:t>
            </w:r>
            <w:r>
              <w:rPr>
                <w:rFonts w:ascii="宋体" w:hAnsi="宋体"/>
                <w:color w:val="auto"/>
                <w:sz w:val="24"/>
                <w:highlight w:val="none"/>
              </w:rPr>
              <w:t>专项水</w:t>
            </w:r>
            <w:r>
              <w:rPr>
                <w:rFonts w:hint="eastAsia" w:ascii="宋体" w:hAnsi="宋体"/>
                <w:color w:val="auto"/>
                <w:sz w:val="24"/>
                <w:highlight w:val="none"/>
              </w:rPr>
              <w:t>文工程环境</w:t>
            </w:r>
            <w:r>
              <w:rPr>
                <w:rFonts w:ascii="宋体" w:hAnsi="宋体"/>
                <w:color w:val="auto"/>
                <w:sz w:val="24"/>
                <w:highlight w:val="none"/>
              </w:rPr>
              <w:t>地质测量</w:t>
            </w:r>
          </w:p>
        </w:tc>
        <w:tc>
          <w:tcPr>
            <w:tcW w:w="2410" w:type="dxa"/>
            <w:noWrap w:val="0"/>
            <w:vAlign w:val="top"/>
          </w:tcPr>
          <w:p w14:paraId="00E15E91">
            <w:pPr>
              <w:adjustRightInd w:val="0"/>
              <w:snapToGrid w:val="0"/>
              <w:spacing w:line="240" w:lineRule="atLeast"/>
              <w:ind w:firstLine="0" w:firstLineChars="0"/>
              <w:jc w:val="left"/>
              <w:rPr>
                <w:rFonts w:hint="eastAsia" w:ascii="宋体" w:hAnsi="宋体"/>
                <w:color w:val="auto"/>
                <w:kern w:val="0"/>
                <w:sz w:val="24"/>
                <w:highlight w:val="none"/>
              </w:rPr>
            </w:pPr>
            <w:r>
              <w:rPr>
                <w:rFonts w:hint="eastAsia" w:ascii="宋体" w:hAnsi="宋体"/>
                <w:color w:val="auto"/>
                <w:kern w:val="0"/>
                <w:sz w:val="24"/>
                <w:highlight w:val="none"/>
              </w:rPr>
              <w:t>符合《矿区水文地质工程地质勘查规范》（DZ/T12719-2021）技术要求</w:t>
            </w:r>
          </w:p>
        </w:tc>
        <w:tc>
          <w:tcPr>
            <w:tcW w:w="992" w:type="dxa"/>
            <w:noWrap w:val="0"/>
            <w:vAlign w:val="center"/>
          </w:tcPr>
          <w:p w14:paraId="3A2BB93E">
            <w:pPr>
              <w:adjustRightInd w:val="0"/>
              <w:snapToGrid w:val="0"/>
              <w:spacing w:line="240" w:lineRule="atLeast"/>
              <w:ind w:firstLine="0" w:firstLineChars="0"/>
              <w:jc w:val="center"/>
              <w:rPr>
                <w:rFonts w:hint="eastAsia" w:ascii="宋体" w:hAnsi="宋体"/>
                <w:color w:val="auto"/>
                <w:highlight w:val="none"/>
              </w:rPr>
            </w:pPr>
            <w:r>
              <w:rPr>
                <w:rFonts w:hint="eastAsia" w:ascii="宋体" w:hAnsi="宋体"/>
                <w:color w:val="auto"/>
                <w:highlight w:val="none"/>
              </w:rPr>
              <w:t>k</w:t>
            </w:r>
            <w:r>
              <w:rPr>
                <w:rFonts w:ascii="宋体" w:hAnsi="宋体"/>
                <w:color w:val="auto"/>
                <w:sz w:val="24"/>
                <w:highlight w:val="none"/>
              </w:rPr>
              <w:t>m</w:t>
            </w:r>
            <w:r>
              <w:rPr>
                <w:rFonts w:ascii="宋体" w:hAnsi="宋体"/>
                <w:color w:val="auto"/>
                <w:sz w:val="24"/>
                <w:highlight w:val="none"/>
                <w:vertAlign w:val="superscript"/>
              </w:rPr>
              <w:t>2</w:t>
            </w:r>
          </w:p>
        </w:tc>
        <w:tc>
          <w:tcPr>
            <w:tcW w:w="1417" w:type="dxa"/>
            <w:noWrap w:val="0"/>
            <w:vAlign w:val="center"/>
          </w:tcPr>
          <w:p w14:paraId="65DCE03D">
            <w:pPr>
              <w:adjustRightInd w:val="0"/>
              <w:snapToGrid w:val="0"/>
              <w:spacing w:line="240" w:lineRule="atLeast"/>
              <w:ind w:firstLine="0" w:firstLineChars="0"/>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0.0786</w:t>
            </w:r>
          </w:p>
        </w:tc>
      </w:tr>
      <w:tr w14:paraId="2655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534" w:type="dxa"/>
            <w:noWrap w:val="0"/>
            <w:vAlign w:val="center"/>
          </w:tcPr>
          <w:p w14:paraId="03685844">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3</w:t>
            </w:r>
          </w:p>
        </w:tc>
        <w:tc>
          <w:tcPr>
            <w:tcW w:w="1209" w:type="dxa"/>
            <w:noWrap w:val="0"/>
            <w:vAlign w:val="center"/>
          </w:tcPr>
          <w:p w14:paraId="016A6812">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sz w:val="24"/>
                <w:highlight w:val="none"/>
              </w:rPr>
              <w:t>浅表工程</w:t>
            </w:r>
          </w:p>
        </w:tc>
        <w:tc>
          <w:tcPr>
            <w:tcW w:w="2618" w:type="dxa"/>
            <w:noWrap w:val="0"/>
            <w:vAlign w:val="center"/>
          </w:tcPr>
          <w:p w14:paraId="42D502E5">
            <w:pPr>
              <w:adjustRightInd w:val="0"/>
              <w:snapToGrid w:val="0"/>
              <w:spacing w:line="240" w:lineRule="atLeast"/>
              <w:ind w:firstLine="0" w:firstLineChars="0"/>
              <w:jc w:val="center"/>
              <w:rPr>
                <w:rFonts w:ascii="宋体" w:hAnsi="宋体"/>
                <w:color w:val="auto"/>
                <w:sz w:val="24"/>
                <w:highlight w:val="none"/>
              </w:rPr>
            </w:pPr>
            <w:r>
              <w:rPr>
                <w:rFonts w:hint="eastAsia" w:ascii="宋体" w:hAnsi="宋体"/>
                <w:color w:val="auto"/>
                <w:sz w:val="24"/>
                <w:highlight w:val="none"/>
              </w:rPr>
              <w:t>槽探工程</w:t>
            </w:r>
          </w:p>
        </w:tc>
        <w:tc>
          <w:tcPr>
            <w:tcW w:w="2410" w:type="dxa"/>
            <w:noWrap w:val="0"/>
            <w:vAlign w:val="top"/>
          </w:tcPr>
          <w:p w14:paraId="2A066004">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kern w:val="0"/>
                <w:sz w:val="24"/>
                <w:highlight w:val="none"/>
              </w:rPr>
              <w:t>槽底宽度不小于0.8m，挖掘至基岩以下0.3～0.5m，深度不大于3m。</w:t>
            </w:r>
          </w:p>
        </w:tc>
        <w:tc>
          <w:tcPr>
            <w:tcW w:w="992" w:type="dxa"/>
            <w:noWrap w:val="0"/>
            <w:vAlign w:val="center"/>
          </w:tcPr>
          <w:p w14:paraId="1656E580">
            <w:pPr>
              <w:adjustRightInd w:val="0"/>
              <w:snapToGrid w:val="0"/>
              <w:spacing w:line="240" w:lineRule="atLeast"/>
              <w:ind w:firstLine="0" w:firstLineChars="0"/>
              <w:jc w:val="center"/>
              <w:rPr>
                <w:rFonts w:hint="eastAsia" w:ascii="宋体" w:hAnsi="宋体"/>
                <w:color w:val="auto"/>
                <w:sz w:val="24"/>
                <w:highlight w:val="none"/>
              </w:rPr>
            </w:pPr>
            <w:r>
              <w:rPr>
                <w:rFonts w:ascii="宋体" w:hAnsi="宋体"/>
                <w:color w:val="auto"/>
                <w:sz w:val="24"/>
                <w:highlight w:val="none"/>
              </w:rPr>
              <w:t>m</w:t>
            </w:r>
            <w:r>
              <w:rPr>
                <w:rFonts w:hint="eastAsia" w:ascii="宋体" w:hAnsi="宋体"/>
                <w:color w:val="auto"/>
                <w:sz w:val="24"/>
                <w:highlight w:val="none"/>
                <w:vertAlign w:val="superscript"/>
              </w:rPr>
              <w:t>3</w:t>
            </w:r>
          </w:p>
        </w:tc>
        <w:tc>
          <w:tcPr>
            <w:tcW w:w="1417" w:type="dxa"/>
            <w:noWrap w:val="0"/>
            <w:vAlign w:val="center"/>
          </w:tcPr>
          <w:p w14:paraId="635BF04E">
            <w:pPr>
              <w:adjustRightInd w:val="0"/>
              <w:snapToGrid w:val="0"/>
              <w:spacing w:line="240" w:lineRule="atLeast"/>
              <w:ind w:firstLine="0" w:firstLineChars="0"/>
              <w:jc w:val="center"/>
              <w:rPr>
                <w:rFonts w:hint="eastAsia" w:ascii="宋体" w:hAnsi="宋体"/>
                <w:color w:val="auto"/>
                <w:kern w:val="2"/>
                <w:sz w:val="24"/>
                <w:szCs w:val="24"/>
                <w:highlight w:val="none"/>
                <w:lang w:val="en-US" w:eastAsia="zh-CN" w:bidi="ar-SA"/>
              </w:rPr>
            </w:pPr>
            <w:r>
              <w:rPr>
                <w:rFonts w:hint="eastAsia" w:ascii="宋体" w:hAnsi="宋体"/>
                <w:color w:val="auto"/>
                <w:sz w:val="24"/>
                <w:highlight w:val="none"/>
                <w:lang w:val="en-US" w:eastAsia="zh-CN"/>
              </w:rPr>
              <w:t>5</w:t>
            </w:r>
            <w:r>
              <w:rPr>
                <w:rFonts w:hint="eastAsia" w:ascii="宋体" w:hAnsi="宋体"/>
                <w:color w:val="auto"/>
                <w:sz w:val="24"/>
                <w:highlight w:val="none"/>
              </w:rPr>
              <w:t>00～</w:t>
            </w:r>
            <w:r>
              <w:rPr>
                <w:rFonts w:hint="eastAsia" w:ascii="宋体" w:hAnsi="宋体"/>
                <w:color w:val="auto"/>
                <w:sz w:val="24"/>
                <w:highlight w:val="none"/>
                <w:lang w:val="en-US" w:eastAsia="zh-CN"/>
              </w:rPr>
              <w:t>10</w:t>
            </w:r>
            <w:r>
              <w:rPr>
                <w:rFonts w:hint="eastAsia" w:ascii="宋体" w:hAnsi="宋体"/>
                <w:color w:val="auto"/>
                <w:sz w:val="24"/>
                <w:highlight w:val="none"/>
              </w:rPr>
              <w:t>00</w:t>
            </w:r>
          </w:p>
        </w:tc>
      </w:tr>
      <w:tr w14:paraId="6452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534" w:type="dxa"/>
            <w:noWrap w:val="0"/>
            <w:vAlign w:val="center"/>
          </w:tcPr>
          <w:p w14:paraId="7EB30C0B">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4</w:t>
            </w:r>
          </w:p>
        </w:tc>
        <w:tc>
          <w:tcPr>
            <w:tcW w:w="1209" w:type="dxa"/>
            <w:noWrap w:val="0"/>
            <w:vAlign w:val="center"/>
          </w:tcPr>
          <w:p w14:paraId="47E1F0C7">
            <w:pPr>
              <w:adjustRightInd w:val="0"/>
              <w:snapToGrid w:val="0"/>
              <w:spacing w:line="240" w:lineRule="atLeast"/>
              <w:ind w:firstLine="0" w:firstLineChars="0"/>
              <w:jc w:val="center"/>
              <w:rPr>
                <w:rFonts w:ascii="宋体" w:hAnsi="宋体"/>
                <w:color w:val="auto"/>
                <w:sz w:val="24"/>
                <w:highlight w:val="none"/>
              </w:rPr>
            </w:pPr>
            <w:r>
              <w:rPr>
                <w:rFonts w:hint="eastAsia" w:ascii="宋体" w:hAnsi="宋体"/>
                <w:color w:val="auto"/>
                <w:sz w:val="24"/>
                <w:highlight w:val="none"/>
              </w:rPr>
              <w:t>钻探</w:t>
            </w:r>
          </w:p>
        </w:tc>
        <w:tc>
          <w:tcPr>
            <w:tcW w:w="2618" w:type="dxa"/>
            <w:noWrap w:val="0"/>
            <w:vAlign w:val="center"/>
          </w:tcPr>
          <w:p w14:paraId="0D6B4702">
            <w:pPr>
              <w:adjustRightInd w:val="0"/>
              <w:snapToGrid w:val="0"/>
              <w:spacing w:line="240" w:lineRule="atLeast"/>
              <w:ind w:firstLine="0" w:firstLineChars="0"/>
              <w:jc w:val="center"/>
              <w:rPr>
                <w:rFonts w:hint="eastAsia" w:ascii="宋体" w:hAnsi="宋体" w:eastAsia="宋体"/>
                <w:color w:val="auto"/>
                <w:sz w:val="24"/>
                <w:highlight w:val="none"/>
                <w:lang w:eastAsia="zh-CN"/>
              </w:rPr>
            </w:pPr>
            <w:r>
              <w:rPr>
                <w:rFonts w:ascii="宋体" w:hAnsi="宋体"/>
                <w:color w:val="auto"/>
                <w:sz w:val="24"/>
                <w:highlight w:val="none"/>
              </w:rPr>
              <w:t>机械岩心钻探</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含</w:t>
            </w:r>
            <w:r>
              <w:rPr>
                <w:rFonts w:ascii="宋体" w:hAnsi="宋体"/>
                <w:color w:val="auto"/>
                <w:sz w:val="24"/>
                <w:highlight w:val="none"/>
              </w:rPr>
              <w:t>水文</w:t>
            </w:r>
            <w:r>
              <w:rPr>
                <w:rFonts w:hint="eastAsia" w:ascii="宋体" w:hAnsi="宋体"/>
                <w:color w:val="auto"/>
                <w:sz w:val="24"/>
                <w:highlight w:val="none"/>
              </w:rPr>
              <w:t>工程地质</w:t>
            </w:r>
            <w:r>
              <w:rPr>
                <w:rFonts w:ascii="宋体" w:hAnsi="宋体"/>
                <w:color w:val="auto"/>
                <w:sz w:val="24"/>
                <w:highlight w:val="none"/>
              </w:rPr>
              <w:t>钻探</w:t>
            </w:r>
            <w:r>
              <w:rPr>
                <w:rFonts w:hint="eastAsia" w:ascii="宋体" w:hAnsi="宋体"/>
                <w:color w:val="auto"/>
                <w:sz w:val="24"/>
                <w:highlight w:val="none"/>
                <w:lang w:eastAsia="zh-CN"/>
              </w:rPr>
              <w:t>）</w:t>
            </w:r>
          </w:p>
        </w:tc>
        <w:tc>
          <w:tcPr>
            <w:tcW w:w="2410" w:type="dxa"/>
            <w:noWrap w:val="0"/>
            <w:vAlign w:val="top"/>
          </w:tcPr>
          <w:p w14:paraId="21460158">
            <w:pPr>
              <w:adjustRightInd w:val="0"/>
              <w:snapToGrid w:val="0"/>
              <w:spacing w:line="240" w:lineRule="atLeast"/>
              <w:ind w:firstLine="0" w:firstLineChars="0"/>
              <w:jc w:val="center"/>
              <w:rPr>
                <w:rFonts w:hint="eastAsia" w:ascii="宋体" w:hAnsi="宋体"/>
                <w:color w:val="auto"/>
                <w:sz w:val="24"/>
                <w:highlight w:val="none"/>
              </w:rPr>
            </w:pPr>
            <w:r>
              <w:rPr>
                <w:rFonts w:hint="eastAsia" w:ascii="宋体" w:hAnsi="宋体"/>
                <w:color w:val="auto"/>
                <w:kern w:val="0"/>
                <w:sz w:val="24"/>
                <w:highlight w:val="none"/>
              </w:rPr>
              <w:t>符合《固体矿产勘查钻孔质量要求》（DZ/T 0486-2024）技术要求</w:t>
            </w:r>
          </w:p>
        </w:tc>
        <w:tc>
          <w:tcPr>
            <w:tcW w:w="992" w:type="dxa"/>
            <w:noWrap w:val="0"/>
            <w:vAlign w:val="center"/>
          </w:tcPr>
          <w:p w14:paraId="02822C12">
            <w:pPr>
              <w:adjustRightInd w:val="0"/>
              <w:snapToGrid w:val="0"/>
              <w:spacing w:line="240" w:lineRule="atLeast"/>
              <w:ind w:firstLine="0" w:firstLineChars="0"/>
              <w:jc w:val="center"/>
              <w:rPr>
                <w:rFonts w:hint="eastAsia" w:ascii="宋体" w:hAnsi="宋体"/>
                <w:color w:val="auto"/>
                <w:sz w:val="24"/>
                <w:highlight w:val="none"/>
              </w:rPr>
            </w:pPr>
            <w:r>
              <w:rPr>
                <w:rFonts w:ascii="宋体" w:hAnsi="宋体"/>
                <w:color w:val="auto"/>
                <w:sz w:val="24"/>
                <w:highlight w:val="none"/>
              </w:rPr>
              <w:t>m</w:t>
            </w:r>
          </w:p>
        </w:tc>
        <w:tc>
          <w:tcPr>
            <w:tcW w:w="1417" w:type="dxa"/>
            <w:noWrap w:val="0"/>
            <w:vAlign w:val="center"/>
          </w:tcPr>
          <w:p w14:paraId="65C5CDB1">
            <w:pPr>
              <w:adjustRightInd w:val="0"/>
              <w:snapToGrid w:val="0"/>
              <w:spacing w:line="240" w:lineRule="atLeast"/>
              <w:ind w:firstLine="0" w:firstLineChars="0"/>
              <w:jc w:val="center"/>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5</w:t>
            </w:r>
            <w:r>
              <w:rPr>
                <w:rFonts w:hint="eastAsia" w:ascii="宋体" w:hAnsi="宋体"/>
                <w:color w:val="auto"/>
                <w:sz w:val="24"/>
                <w:highlight w:val="none"/>
              </w:rPr>
              <w:t>00～</w:t>
            </w:r>
            <w:r>
              <w:rPr>
                <w:rFonts w:hint="eastAsia" w:ascii="宋体" w:hAnsi="宋体"/>
                <w:color w:val="auto"/>
                <w:sz w:val="24"/>
                <w:highlight w:val="none"/>
                <w:lang w:val="en-US" w:eastAsia="zh-CN"/>
              </w:rPr>
              <w:t>10</w:t>
            </w:r>
            <w:r>
              <w:rPr>
                <w:rFonts w:hint="eastAsia" w:ascii="宋体" w:hAnsi="宋体"/>
                <w:color w:val="auto"/>
                <w:sz w:val="24"/>
                <w:highlight w:val="none"/>
              </w:rPr>
              <w:t>00</w:t>
            </w:r>
          </w:p>
        </w:tc>
      </w:tr>
    </w:tbl>
    <w:p w14:paraId="45152633">
      <w:pPr>
        <w:adjustRightInd w:val="0"/>
        <w:snapToGrid w:val="0"/>
        <w:spacing w:line="560" w:lineRule="exact"/>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四、保障措施</w:t>
      </w:r>
    </w:p>
    <w:p w14:paraId="62A77CFD">
      <w:pP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方案》中专业技术人员分工符合野外实际生产，满足生产要求；技术质量保障措施严格按照三级质量检查标准进行执行，保证了各项工作技术满足质量技术要求；安全生产保障措施制定的较为细致合理，可保障野外安全生产。</w:t>
      </w:r>
    </w:p>
    <w:p w14:paraId="7F5CF267">
      <w:pPr>
        <w:adjustRightInd w:val="0"/>
        <w:snapToGrid w:val="0"/>
        <w:spacing w:line="560" w:lineRule="exact"/>
        <w:ind w:firstLine="640" w:firstLineChars="200"/>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五、说明与建议</w:t>
      </w:r>
    </w:p>
    <w:p w14:paraId="7C73BAC2">
      <w:pP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勘查区位于鄂托克旗西部，生态环境较为脆弱，在勘查的过程中要保护自然环境，严格按照《绿色地质勘查工作规范》（DZ/T 0374-2021）、《绿色勘查技术规程》（DB15/T 3393-2024）和《绿色勘查指南》（T/CMAS 0001-2018）中的各项规范要求进行。钻探施工完成后，要及时修复施工场地，最大限度减少对生态环境的负面影响，妥善处理废弃物，及时进行场地平整和土地复垦，撒播适合当地的草籽。对岩心要及时搬运入库，最大限度的减少对环境的扰动。</w:t>
      </w:r>
    </w:p>
    <w:p w14:paraId="0AE460F4">
      <w:pPr>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当地人口较为稀少，劳动力资源较匮乏，居民以蒙古族为主，其次有汉族等，</w:t>
      </w:r>
      <w:r>
        <w:rPr>
          <w:rFonts w:hint="eastAsia" w:ascii="仿宋" w:hAnsi="仿宋" w:eastAsia="仿宋" w:cs="仿宋"/>
          <w:color w:val="auto"/>
          <w:sz w:val="32"/>
          <w:szCs w:val="32"/>
          <w:highlight w:val="none"/>
        </w:rPr>
        <w:t>要尊重当地民族习惯，做到和谐勘查。</w:t>
      </w:r>
    </w:p>
    <w:p w14:paraId="636250CC">
      <w:pPr>
        <w:adjustRightInd w:val="0"/>
        <w:snapToGrid w:val="0"/>
        <w:spacing w:line="560" w:lineRule="exact"/>
        <w:ind w:firstLine="640" w:firstLineChars="200"/>
        <w:rPr>
          <w:rFonts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六、结论</w:t>
      </w:r>
    </w:p>
    <w:p w14:paraId="75D8C35E">
      <w:pPr>
        <w:tabs>
          <w:tab w:val="left" w:pos="312"/>
        </w:tabs>
        <w:adjustRightInd w:val="0"/>
        <w:snapToGrid w:val="0"/>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该《方案》编制依据充分，内容齐全，目标明确，任务具体，勘查方法和手段与技术路线可行，工作部署符合相关要求，专家组同意通过评审。</w:t>
      </w:r>
    </w:p>
    <w:p w14:paraId="2E9F313D">
      <w:pPr>
        <w:tabs>
          <w:tab w:val="left" w:pos="312"/>
        </w:tabs>
        <w:adjustRightInd w:val="0"/>
        <w:snapToGrid w:val="0"/>
        <w:spacing w:line="560" w:lineRule="exact"/>
        <w:ind w:firstLine="4640" w:firstLineChars="1450"/>
        <w:rPr>
          <w:rFonts w:ascii="仿宋" w:hAnsi="仿宋" w:eastAsia="仿宋"/>
          <w:color w:val="auto"/>
          <w:sz w:val="32"/>
          <w:szCs w:val="32"/>
          <w:highlight w:val="none"/>
        </w:rPr>
      </w:pPr>
    </w:p>
    <w:p w14:paraId="63422F38">
      <w:pPr>
        <w:tabs>
          <w:tab w:val="left" w:pos="312"/>
        </w:tabs>
        <w:adjustRightInd w:val="0"/>
        <w:snapToGrid w:val="0"/>
        <w:spacing w:line="560" w:lineRule="exact"/>
        <w:ind w:firstLine="4640" w:firstLineChars="1450"/>
        <w:rPr>
          <w:rFonts w:ascii="仿宋" w:hAnsi="仿宋" w:eastAsia="仿宋"/>
          <w:color w:val="auto"/>
          <w:sz w:val="32"/>
          <w:szCs w:val="32"/>
          <w:highlight w:val="none"/>
        </w:rPr>
      </w:pPr>
      <w:r>
        <w:rPr>
          <w:rFonts w:hint="eastAsia" w:ascii="仿宋" w:hAnsi="仿宋" w:eastAsia="仿宋"/>
          <w:color w:val="auto"/>
          <w:sz w:val="32"/>
          <w:szCs w:val="32"/>
          <w:highlight w:val="none"/>
        </w:rPr>
        <w:t>专家组</w:t>
      </w:r>
      <w:r>
        <w:rPr>
          <w:rFonts w:ascii="仿宋" w:hAnsi="仿宋" w:eastAsia="仿宋"/>
          <w:color w:val="auto"/>
          <w:sz w:val="32"/>
          <w:szCs w:val="32"/>
          <w:highlight w:val="none"/>
        </w:rPr>
        <w:t>组长：</w:t>
      </w:r>
    </w:p>
    <w:p w14:paraId="16DDD96D">
      <w:pPr>
        <w:tabs>
          <w:tab w:val="left" w:pos="312"/>
        </w:tabs>
        <w:adjustRightInd w:val="0"/>
        <w:snapToGrid w:val="0"/>
        <w:spacing w:line="560" w:lineRule="exact"/>
        <w:ind w:left="4788" w:leftChars="2280"/>
        <w:rPr>
          <w:rFonts w:ascii="仿宋" w:hAnsi="仿宋" w:eastAsia="仿宋"/>
          <w:color w:val="auto"/>
          <w:sz w:val="32"/>
          <w:szCs w:val="32"/>
          <w:highlight w:val="none"/>
        </w:rPr>
      </w:pPr>
      <w:r>
        <w:rPr>
          <w:rFonts w:hint="eastAsia" w:ascii="仿宋" w:hAnsi="仿宋" w:eastAsia="仿宋"/>
          <w:color w:val="auto"/>
          <w:sz w:val="32"/>
          <w:szCs w:val="32"/>
          <w:highlight w:val="none"/>
        </w:rPr>
        <w:t>2026年5月28日</w:t>
      </w:r>
    </w:p>
    <w:p w14:paraId="388E68BF">
      <w:pPr>
        <w:spacing w:before="312" w:beforeLines="100" w:after="312" w:afterLines="100" w:line="480" w:lineRule="exact"/>
        <w:rPr>
          <w:rFonts w:hint="eastAsia" w:ascii="仿宋" w:hAnsi="仿宋" w:eastAsia="仿宋" w:cs="宋体"/>
          <w:snapToGrid w:val="0"/>
          <w:color w:val="auto"/>
          <w:spacing w:val="-3"/>
          <w:kern w:val="0"/>
          <w:sz w:val="32"/>
          <w:szCs w:val="32"/>
          <w:highlight w:val="none"/>
        </w:rPr>
      </w:pPr>
    </w:p>
    <w:p w14:paraId="04FAB129">
      <w:pPr>
        <w:spacing w:before="312" w:beforeLines="100" w:after="312" w:afterLines="100" w:line="480" w:lineRule="exact"/>
        <w:rPr>
          <w:rFonts w:hint="eastAsia" w:ascii="仿宋" w:hAnsi="仿宋" w:eastAsia="仿宋" w:cs="宋体"/>
          <w:snapToGrid w:val="0"/>
          <w:color w:val="auto"/>
          <w:spacing w:val="-3"/>
          <w:kern w:val="0"/>
          <w:sz w:val="32"/>
          <w:szCs w:val="32"/>
          <w:highlight w:val="none"/>
        </w:rPr>
      </w:pPr>
    </w:p>
    <w:p w14:paraId="37DFF24A">
      <w:pPr>
        <w:spacing w:before="312" w:beforeLines="100" w:after="312" w:afterLines="100" w:line="480" w:lineRule="exact"/>
        <w:rPr>
          <w:rFonts w:hint="eastAsia" w:ascii="仿宋" w:hAnsi="仿宋" w:eastAsia="仿宋" w:cs="宋体"/>
          <w:snapToGrid w:val="0"/>
          <w:color w:val="auto"/>
          <w:spacing w:val="-3"/>
          <w:kern w:val="0"/>
          <w:sz w:val="32"/>
          <w:szCs w:val="32"/>
          <w:highlight w:val="none"/>
        </w:rPr>
      </w:pPr>
    </w:p>
    <w:p w14:paraId="20A8DA6F">
      <w:pPr>
        <w:spacing w:before="312" w:beforeLines="100" w:after="312" w:afterLines="100" w:line="480" w:lineRule="exact"/>
        <w:rPr>
          <w:rFonts w:hint="eastAsia" w:ascii="仿宋" w:hAnsi="仿宋" w:eastAsia="仿宋" w:cs="宋体"/>
          <w:snapToGrid w:val="0"/>
          <w:color w:val="auto"/>
          <w:spacing w:val="-3"/>
          <w:kern w:val="0"/>
          <w:sz w:val="32"/>
          <w:szCs w:val="32"/>
          <w:highlight w:val="none"/>
        </w:rPr>
      </w:pPr>
      <w:r>
        <w:rPr>
          <w:rFonts w:hint="eastAsia" w:ascii="仿宋" w:hAnsi="仿宋" w:eastAsia="仿宋" w:cs="宋体"/>
          <w:snapToGrid w:val="0"/>
          <w:color w:val="auto"/>
          <w:spacing w:val="-3"/>
          <w:kern w:val="0"/>
          <w:sz w:val="32"/>
          <w:szCs w:val="32"/>
          <w:highlight w:val="none"/>
        </w:rPr>
        <w:t>附：《内蒙古自治区</w:t>
      </w:r>
      <w:r>
        <w:rPr>
          <w:rFonts w:hint="eastAsia" w:ascii="仿宋" w:hAnsi="仿宋" w:eastAsia="仿宋" w:cs="宋体"/>
          <w:snapToGrid w:val="0"/>
          <w:color w:val="auto"/>
          <w:spacing w:val="-3"/>
          <w:kern w:val="0"/>
          <w:sz w:val="32"/>
          <w:szCs w:val="32"/>
          <w:highlight w:val="none"/>
          <w:lang w:val="en-US" w:eastAsia="zh-CN"/>
        </w:rPr>
        <w:t>鄂托克旗</w:t>
      </w:r>
      <w:r>
        <w:rPr>
          <w:rFonts w:hint="eastAsia" w:ascii="仿宋" w:hAnsi="仿宋" w:eastAsia="仿宋" w:cs="宋体"/>
          <w:snapToGrid w:val="0"/>
          <w:color w:val="auto"/>
          <w:spacing w:val="-3"/>
          <w:kern w:val="0"/>
          <w:sz w:val="32"/>
          <w:szCs w:val="32"/>
          <w:highlight w:val="none"/>
          <w:lang w:eastAsia="zh-CN"/>
        </w:rPr>
        <w:t>志兴矿区</w:t>
      </w:r>
      <w:r>
        <w:rPr>
          <w:rFonts w:hint="eastAsia" w:ascii="仿宋" w:hAnsi="仿宋" w:eastAsia="仿宋" w:cs="宋体"/>
          <w:snapToGrid w:val="0"/>
          <w:color w:val="auto"/>
          <w:spacing w:val="-3"/>
          <w:kern w:val="0"/>
          <w:sz w:val="32"/>
          <w:szCs w:val="32"/>
          <w:highlight w:val="none"/>
          <w:lang w:val="en-US" w:eastAsia="zh-CN"/>
        </w:rPr>
        <w:t>3号石英岩</w:t>
      </w:r>
      <w:r>
        <w:rPr>
          <w:rFonts w:hint="eastAsia" w:ascii="仿宋" w:hAnsi="仿宋" w:eastAsia="仿宋" w:cs="宋体"/>
          <w:snapToGrid w:val="0"/>
          <w:color w:val="auto"/>
          <w:spacing w:val="-3"/>
          <w:kern w:val="0"/>
          <w:sz w:val="32"/>
          <w:szCs w:val="32"/>
          <w:highlight w:val="none"/>
        </w:rPr>
        <w:t>边角资源勘查方案》评审专家组人员名单</w:t>
      </w:r>
    </w:p>
    <w:p w14:paraId="35C9C1C8">
      <w:pPr>
        <w:spacing w:before="312" w:beforeLines="100" w:after="312" w:afterLines="100" w:line="480" w:lineRule="exact"/>
        <w:jc w:val="center"/>
        <w:rPr>
          <w:rFonts w:ascii="仿宋" w:hAnsi="仿宋" w:eastAsia="仿宋"/>
          <w:color w:val="auto"/>
          <w:sz w:val="32"/>
          <w:szCs w:val="32"/>
        </w:rPr>
      </w:pPr>
    </w:p>
    <w:p w14:paraId="55836AAF">
      <w:pPr>
        <w:spacing w:before="312" w:beforeLines="100" w:after="312" w:afterLines="100" w:line="480" w:lineRule="exact"/>
        <w:jc w:val="center"/>
        <w:rPr>
          <w:rFonts w:ascii="仿宋" w:hAnsi="仿宋" w:eastAsia="仿宋"/>
          <w:color w:val="auto"/>
          <w:sz w:val="32"/>
          <w:szCs w:val="32"/>
        </w:rPr>
      </w:pPr>
    </w:p>
    <w:p w14:paraId="310B7CC2">
      <w:pPr>
        <w:rPr>
          <w:rFonts w:hint="eastAsia" w:eastAsiaTheme="minorEastAsia"/>
          <w:color w:val="auto"/>
          <w:lang w:eastAsia="zh-CN"/>
        </w:rPr>
      </w:pPr>
      <w:r>
        <w:rPr>
          <w:rFonts w:hint="eastAsia" w:eastAsiaTheme="minorEastAsia"/>
          <w:color w:val="auto"/>
          <w:lang w:eastAsia="zh-CN"/>
        </w:rPr>
        <w:drawing>
          <wp:inline distT="0" distB="0" distL="114300" distR="114300">
            <wp:extent cx="5261610" cy="5262245"/>
            <wp:effectExtent l="0" t="0" r="15240" b="14605"/>
            <wp:docPr id="1" name="图片 1" descr="微信图片_20260602132051_171_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602132051_171_73"/>
                    <pic:cNvPicPr>
                      <a:picLocks noChangeAspect="1"/>
                    </pic:cNvPicPr>
                  </pic:nvPicPr>
                  <pic:blipFill>
                    <a:blip r:embed="rId13"/>
                    <a:stretch>
                      <a:fillRect/>
                    </a:stretch>
                  </pic:blipFill>
                  <pic:spPr>
                    <a:xfrm>
                      <a:off x="0" y="0"/>
                      <a:ext cx="5261610" cy="5262245"/>
                    </a:xfrm>
                    <a:prstGeom prst="rect">
                      <a:avLst/>
                    </a:prstGeom>
                  </pic:spPr>
                </pic:pic>
              </a:graphicData>
            </a:graphic>
          </wp:inline>
        </w:drawing>
      </w:r>
    </w:p>
    <w:sectPr>
      <w:headerReference r:id="rId10" w:type="default"/>
      <w:footerReference r:id="rId11"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D1E1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0420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3D7B">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56FEF">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3069"/>
    </w:sdtPr>
    <w:sdtContent>
      <w:p w14:paraId="17D9D942">
        <w:pPr>
          <w:pStyle w:val="5"/>
          <w:jc w:val="center"/>
        </w:pPr>
        <w:r>
          <w:fldChar w:fldCharType="begin"/>
        </w:r>
        <w:r>
          <w:instrText xml:space="preserve"> PAGE   \* MERGEFORMAT </w:instrText>
        </w:r>
        <w:r>
          <w:fldChar w:fldCharType="separate"/>
        </w:r>
        <w:r>
          <w:rPr>
            <w:lang w:val="zh-CN"/>
          </w:rPr>
          <w:t>3</w:t>
        </w:r>
        <w:r>
          <w:rPr>
            <w:lang w:val="zh-CN"/>
          </w:rPr>
          <w:fldChar w:fldCharType="end"/>
        </w:r>
      </w:p>
    </w:sdtContent>
  </w:sdt>
  <w:p w14:paraId="40E5912E">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1EFC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6BE62">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AF423">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C2EA3">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7B7"/>
    <w:rsid w:val="00002DE5"/>
    <w:rsid w:val="00006DE1"/>
    <w:rsid w:val="000248EE"/>
    <w:rsid w:val="0003179A"/>
    <w:rsid w:val="000376DB"/>
    <w:rsid w:val="00041ED8"/>
    <w:rsid w:val="00042D99"/>
    <w:rsid w:val="00055FEF"/>
    <w:rsid w:val="00064817"/>
    <w:rsid w:val="00073FA4"/>
    <w:rsid w:val="0007727E"/>
    <w:rsid w:val="000A128F"/>
    <w:rsid w:val="000A4FFF"/>
    <w:rsid w:val="000A7656"/>
    <w:rsid w:val="000B28E3"/>
    <w:rsid w:val="000B6422"/>
    <w:rsid w:val="000D2BF9"/>
    <w:rsid w:val="000D68BB"/>
    <w:rsid w:val="000F7A4F"/>
    <w:rsid w:val="00103FAB"/>
    <w:rsid w:val="00127134"/>
    <w:rsid w:val="00144042"/>
    <w:rsid w:val="00144883"/>
    <w:rsid w:val="00144F60"/>
    <w:rsid w:val="00147FCC"/>
    <w:rsid w:val="001507CC"/>
    <w:rsid w:val="001578FD"/>
    <w:rsid w:val="00170BCC"/>
    <w:rsid w:val="00175174"/>
    <w:rsid w:val="001851AF"/>
    <w:rsid w:val="00185CA6"/>
    <w:rsid w:val="001C0E46"/>
    <w:rsid w:val="001C6FE2"/>
    <w:rsid w:val="001C72E7"/>
    <w:rsid w:val="001D43FE"/>
    <w:rsid w:val="00212EA4"/>
    <w:rsid w:val="00212F6A"/>
    <w:rsid w:val="00241B55"/>
    <w:rsid w:val="00257679"/>
    <w:rsid w:val="00270ED6"/>
    <w:rsid w:val="00296339"/>
    <w:rsid w:val="002A1101"/>
    <w:rsid w:val="002A4126"/>
    <w:rsid w:val="002B5935"/>
    <w:rsid w:val="002C4EA6"/>
    <w:rsid w:val="002D30A3"/>
    <w:rsid w:val="0031213C"/>
    <w:rsid w:val="0032099F"/>
    <w:rsid w:val="003418AE"/>
    <w:rsid w:val="00353E81"/>
    <w:rsid w:val="0036209E"/>
    <w:rsid w:val="00364E22"/>
    <w:rsid w:val="00367623"/>
    <w:rsid w:val="00370F58"/>
    <w:rsid w:val="0038106B"/>
    <w:rsid w:val="00392CAC"/>
    <w:rsid w:val="0039407A"/>
    <w:rsid w:val="003A5BB3"/>
    <w:rsid w:val="003B13F0"/>
    <w:rsid w:val="003B1AE9"/>
    <w:rsid w:val="003B6CB3"/>
    <w:rsid w:val="003C4EEF"/>
    <w:rsid w:val="003D4786"/>
    <w:rsid w:val="003D53CB"/>
    <w:rsid w:val="003D6AB5"/>
    <w:rsid w:val="003E7381"/>
    <w:rsid w:val="004064C9"/>
    <w:rsid w:val="00407D14"/>
    <w:rsid w:val="0041688A"/>
    <w:rsid w:val="00426E32"/>
    <w:rsid w:val="00436661"/>
    <w:rsid w:val="00440728"/>
    <w:rsid w:val="00447148"/>
    <w:rsid w:val="004566B7"/>
    <w:rsid w:val="00462E2E"/>
    <w:rsid w:val="0047144A"/>
    <w:rsid w:val="004718C9"/>
    <w:rsid w:val="004723F1"/>
    <w:rsid w:val="00484578"/>
    <w:rsid w:val="00485734"/>
    <w:rsid w:val="004865CA"/>
    <w:rsid w:val="0049447B"/>
    <w:rsid w:val="004975F2"/>
    <w:rsid w:val="004B5AAC"/>
    <w:rsid w:val="004C2D57"/>
    <w:rsid w:val="004D5F13"/>
    <w:rsid w:val="004D7F46"/>
    <w:rsid w:val="004E07AB"/>
    <w:rsid w:val="004E5F16"/>
    <w:rsid w:val="004F23D7"/>
    <w:rsid w:val="004F44C6"/>
    <w:rsid w:val="005137F0"/>
    <w:rsid w:val="00526048"/>
    <w:rsid w:val="00530EF0"/>
    <w:rsid w:val="0053655D"/>
    <w:rsid w:val="005402AB"/>
    <w:rsid w:val="00540CB0"/>
    <w:rsid w:val="00541528"/>
    <w:rsid w:val="0054220C"/>
    <w:rsid w:val="00566685"/>
    <w:rsid w:val="0057781B"/>
    <w:rsid w:val="00584ED3"/>
    <w:rsid w:val="00586631"/>
    <w:rsid w:val="00586F8A"/>
    <w:rsid w:val="00595985"/>
    <w:rsid w:val="005A0D10"/>
    <w:rsid w:val="005A39CB"/>
    <w:rsid w:val="005A74F2"/>
    <w:rsid w:val="005B7FD6"/>
    <w:rsid w:val="005C290B"/>
    <w:rsid w:val="005D0D1F"/>
    <w:rsid w:val="005D2018"/>
    <w:rsid w:val="005D36A0"/>
    <w:rsid w:val="005F34C9"/>
    <w:rsid w:val="00610923"/>
    <w:rsid w:val="0063102A"/>
    <w:rsid w:val="006345D5"/>
    <w:rsid w:val="006403F0"/>
    <w:rsid w:val="0064458C"/>
    <w:rsid w:val="006455A9"/>
    <w:rsid w:val="00645A5B"/>
    <w:rsid w:val="006739D9"/>
    <w:rsid w:val="0067439E"/>
    <w:rsid w:val="00677631"/>
    <w:rsid w:val="00680F8C"/>
    <w:rsid w:val="00681B9C"/>
    <w:rsid w:val="0068246F"/>
    <w:rsid w:val="006846F3"/>
    <w:rsid w:val="00690B86"/>
    <w:rsid w:val="00695541"/>
    <w:rsid w:val="006A7AA1"/>
    <w:rsid w:val="006C06F5"/>
    <w:rsid w:val="00723684"/>
    <w:rsid w:val="00725454"/>
    <w:rsid w:val="00734653"/>
    <w:rsid w:val="0074501A"/>
    <w:rsid w:val="00757DF3"/>
    <w:rsid w:val="00765829"/>
    <w:rsid w:val="0077770E"/>
    <w:rsid w:val="00787416"/>
    <w:rsid w:val="007A7D89"/>
    <w:rsid w:val="007C0B6A"/>
    <w:rsid w:val="007C2A47"/>
    <w:rsid w:val="007C7AFD"/>
    <w:rsid w:val="007D0ECD"/>
    <w:rsid w:val="007D3B77"/>
    <w:rsid w:val="007D6AA8"/>
    <w:rsid w:val="007E0989"/>
    <w:rsid w:val="007F1633"/>
    <w:rsid w:val="00804CBD"/>
    <w:rsid w:val="00821836"/>
    <w:rsid w:val="00833858"/>
    <w:rsid w:val="00842BE6"/>
    <w:rsid w:val="0084478E"/>
    <w:rsid w:val="008449CC"/>
    <w:rsid w:val="00870CED"/>
    <w:rsid w:val="008843E0"/>
    <w:rsid w:val="00887E3B"/>
    <w:rsid w:val="0089495E"/>
    <w:rsid w:val="00896049"/>
    <w:rsid w:val="00897399"/>
    <w:rsid w:val="0089747E"/>
    <w:rsid w:val="008A1EAF"/>
    <w:rsid w:val="008A50A5"/>
    <w:rsid w:val="008A541C"/>
    <w:rsid w:val="008A7771"/>
    <w:rsid w:val="008C308B"/>
    <w:rsid w:val="008E083F"/>
    <w:rsid w:val="008E2961"/>
    <w:rsid w:val="008F193D"/>
    <w:rsid w:val="009039B5"/>
    <w:rsid w:val="00912334"/>
    <w:rsid w:val="00923060"/>
    <w:rsid w:val="009272E3"/>
    <w:rsid w:val="00933C8D"/>
    <w:rsid w:val="009353BC"/>
    <w:rsid w:val="00945036"/>
    <w:rsid w:val="00956F62"/>
    <w:rsid w:val="009B44F6"/>
    <w:rsid w:val="009B6E59"/>
    <w:rsid w:val="009C205E"/>
    <w:rsid w:val="009C2EA1"/>
    <w:rsid w:val="009C7F52"/>
    <w:rsid w:val="009D2508"/>
    <w:rsid w:val="009D2903"/>
    <w:rsid w:val="009E3565"/>
    <w:rsid w:val="009E3809"/>
    <w:rsid w:val="009E3C03"/>
    <w:rsid w:val="00A0590A"/>
    <w:rsid w:val="00A208C0"/>
    <w:rsid w:val="00A30937"/>
    <w:rsid w:val="00A51E4C"/>
    <w:rsid w:val="00A5539C"/>
    <w:rsid w:val="00A63CCD"/>
    <w:rsid w:val="00A74BB0"/>
    <w:rsid w:val="00A74C21"/>
    <w:rsid w:val="00A86365"/>
    <w:rsid w:val="00A8724D"/>
    <w:rsid w:val="00A91EB3"/>
    <w:rsid w:val="00A9277F"/>
    <w:rsid w:val="00AB05D1"/>
    <w:rsid w:val="00AB2CD4"/>
    <w:rsid w:val="00AB4F40"/>
    <w:rsid w:val="00AB5626"/>
    <w:rsid w:val="00AB769E"/>
    <w:rsid w:val="00AC0D5F"/>
    <w:rsid w:val="00AD1F19"/>
    <w:rsid w:val="00AD445E"/>
    <w:rsid w:val="00AE388A"/>
    <w:rsid w:val="00AE4738"/>
    <w:rsid w:val="00AF6C78"/>
    <w:rsid w:val="00B01DE5"/>
    <w:rsid w:val="00B33F4E"/>
    <w:rsid w:val="00B35D3A"/>
    <w:rsid w:val="00B44244"/>
    <w:rsid w:val="00B506CD"/>
    <w:rsid w:val="00B67F9A"/>
    <w:rsid w:val="00B72C25"/>
    <w:rsid w:val="00B95EFF"/>
    <w:rsid w:val="00BA3CBD"/>
    <w:rsid w:val="00BB6E04"/>
    <w:rsid w:val="00BC1660"/>
    <w:rsid w:val="00BC27B7"/>
    <w:rsid w:val="00BC4159"/>
    <w:rsid w:val="00BC41A2"/>
    <w:rsid w:val="00BC5294"/>
    <w:rsid w:val="00BE3492"/>
    <w:rsid w:val="00BF0BD7"/>
    <w:rsid w:val="00BF3650"/>
    <w:rsid w:val="00BF5136"/>
    <w:rsid w:val="00C117DA"/>
    <w:rsid w:val="00C41E44"/>
    <w:rsid w:val="00C43016"/>
    <w:rsid w:val="00C435F9"/>
    <w:rsid w:val="00C4364A"/>
    <w:rsid w:val="00C470F6"/>
    <w:rsid w:val="00C51520"/>
    <w:rsid w:val="00C601E0"/>
    <w:rsid w:val="00C921F2"/>
    <w:rsid w:val="00CA1B27"/>
    <w:rsid w:val="00CA4407"/>
    <w:rsid w:val="00CA46FC"/>
    <w:rsid w:val="00CC2AF6"/>
    <w:rsid w:val="00CD4A3D"/>
    <w:rsid w:val="00CE21DF"/>
    <w:rsid w:val="00CE3866"/>
    <w:rsid w:val="00CE486B"/>
    <w:rsid w:val="00CE5135"/>
    <w:rsid w:val="00CF4BE4"/>
    <w:rsid w:val="00D0096A"/>
    <w:rsid w:val="00D0326B"/>
    <w:rsid w:val="00D102DC"/>
    <w:rsid w:val="00D10511"/>
    <w:rsid w:val="00D13852"/>
    <w:rsid w:val="00D13FE0"/>
    <w:rsid w:val="00D16148"/>
    <w:rsid w:val="00D22EC2"/>
    <w:rsid w:val="00D23A28"/>
    <w:rsid w:val="00D438C3"/>
    <w:rsid w:val="00D44FC8"/>
    <w:rsid w:val="00D45488"/>
    <w:rsid w:val="00D50420"/>
    <w:rsid w:val="00D60F64"/>
    <w:rsid w:val="00D80390"/>
    <w:rsid w:val="00D80B6C"/>
    <w:rsid w:val="00D85D80"/>
    <w:rsid w:val="00DA2D2F"/>
    <w:rsid w:val="00DA6806"/>
    <w:rsid w:val="00DA6ED9"/>
    <w:rsid w:val="00DB4EF6"/>
    <w:rsid w:val="00DD439A"/>
    <w:rsid w:val="00DE0456"/>
    <w:rsid w:val="00DE53DE"/>
    <w:rsid w:val="00DF6CC1"/>
    <w:rsid w:val="00E17653"/>
    <w:rsid w:val="00E213BA"/>
    <w:rsid w:val="00E26420"/>
    <w:rsid w:val="00E267D7"/>
    <w:rsid w:val="00E3690C"/>
    <w:rsid w:val="00E500C9"/>
    <w:rsid w:val="00E505DB"/>
    <w:rsid w:val="00E51998"/>
    <w:rsid w:val="00E51CA3"/>
    <w:rsid w:val="00E528E4"/>
    <w:rsid w:val="00E633B7"/>
    <w:rsid w:val="00E723D4"/>
    <w:rsid w:val="00E87100"/>
    <w:rsid w:val="00EA2FA9"/>
    <w:rsid w:val="00EB0402"/>
    <w:rsid w:val="00EB12E2"/>
    <w:rsid w:val="00EB25B1"/>
    <w:rsid w:val="00EB4143"/>
    <w:rsid w:val="00EB54D2"/>
    <w:rsid w:val="00EB5E4E"/>
    <w:rsid w:val="00EB66E3"/>
    <w:rsid w:val="00EB672C"/>
    <w:rsid w:val="00EB6AD6"/>
    <w:rsid w:val="00ED1F39"/>
    <w:rsid w:val="00ED2E71"/>
    <w:rsid w:val="00ED71EA"/>
    <w:rsid w:val="00EE3B0B"/>
    <w:rsid w:val="00EE530C"/>
    <w:rsid w:val="00EF0FB7"/>
    <w:rsid w:val="00EF725D"/>
    <w:rsid w:val="00F00410"/>
    <w:rsid w:val="00F07BCF"/>
    <w:rsid w:val="00F138DD"/>
    <w:rsid w:val="00F21FE5"/>
    <w:rsid w:val="00F3030B"/>
    <w:rsid w:val="00F519EF"/>
    <w:rsid w:val="00F570B6"/>
    <w:rsid w:val="00F626BE"/>
    <w:rsid w:val="00F70017"/>
    <w:rsid w:val="00F81AD5"/>
    <w:rsid w:val="00F8545A"/>
    <w:rsid w:val="00F9317F"/>
    <w:rsid w:val="00F95961"/>
    <w:rsid w:val="00F95ED4"/>
    <w:rsid w:val="00FA57C5"/>
    <w:rsid w:val="00FA7710"/>
    <w:rsid w:val="00FB06DA"/>
    <w:rsid w:val="00FB2298"/>
    <w:rsid w:val="00FC5987"/>
    <w:rsid w:val="00FC6BDA"/>
    <w:rsid w:val="00FC7E55"/>
    <w:rsid w:val="00FF0324"/>
    <w:rsid w:val="00FF2A04"/>
    <w:rsid w:val="00FF36DC"/>
    <w:rsid w:val="00FF7202"/>
    <w:rsid w:val="023625B0"/>
    <w:rsid w:val="04472DF8"/>
    <w:rsid w:val="04583A5F"/>
    <w:rsid w:val="0579488D"/>
    <w:rsid w:val="07404420"/>
    <w:rsid w:val="09434CDD"/>
    <w:rsid w:val="0A815C0F"/>
    <w:rsid w:val="0C875046"/>
    <w:rsid w:val="0E2F35B9"/>
    <w:rsid w:val="10AB61E2"/>
    <w:rsid w:val="12E532FC"/>
    <w:rsid w:val="1356650A"/>
    <w:rsid w:val="14D0319D"/>
    <w:rsid w:val="155408B6"/>
    <w:rsid w:val="17A2707A"/>
    <w:rsid w:val="1816671D"/>
    <w:rsid w:val="18333A39"/>
    <w:rsid w:val="19281704"/>
    <w:rsid w:val="1A830564"/>
    <w:rsid w:val="1B9E2BD2"/>
    <w:rsid w:val="1FC81540"/>
    <w:rsid w:val="206D5762"/>
    <w:rsid w:val="21BC3059"/>
    <w:rsid w:val="225A6975"/>
    <w:rsid w:val="23356F24"/>
    <w:rsid w:val="25C213F0"/>
    <w:rsid w:val="26526108"/>
    <w:rsid w:val="2D1623D7"/>
    <w:rsid w:val="2D3F4034"/>
    <w:rsid w:val="2D855575"/>
    <w:rsid w:val="39254154"/>
    <w:rsid w:val="3B4D154E"/>
    <w:rsid w:val="41880725"/>
    <w:rsid w:val="420A016B"/>
    <w:rsid w:val="439A0DFC"/>
    <w:rsid w:val="45903D20"/>
    <w:rsid w:val="46310686"/>
    <w:rsid w:val="4EC34302"/>
    <w:rsid w:val="501167B4"/>
    <w:rsid w:val="53A71C4B"/>
    <w:rsid w:val="594E3790"/>
    <w:rsid w:val="5A0D00F0"/>
    <w:rsid w:val="5BBF6EE2"/>
    <w:rsid w:val="5E2378A3"/>
    <w:rsid w:val="608F0929"/>
    <w:rsid w:val="6365391E"/>
    <w:rsid w:val="64145C3D"/>
    <w:rsid w:val="65183A9D"/>
    <w:rsid w:val="6C010CC1"/>
    <w:rsid w:val="72EF7015"/>
    <w:rsid w:val="793B0674"/>
    <w:rsid w:val="7B9C1096"/>
    <w:rsid w:val="7D863BC3"/>
    <w:rsid w:val="7DDC7F42"/>
    <w:rsid w:val="7FCA5BE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jc w:val="center"/>
    </w:pPr>
    <w:rPr>
      <w:rFonts w:ascii="宋体" w:hAnsi="宋体"/>
      <w:b/>
      <w:bCs/>
      <w:sz w:val="44"/>
    </w:rPr>
  </w:style>
  <w:style w:type="paragraph" w:styleId="3">
    <w:name w:val="Body Text Indent"/>
    <w:basedOn w:val="1"/>
    <w:qFormat/>
    <w:uiPriority w:val="0"/>
    <w:pPr>
      <w:spacing w:line="600" w:lineRule="exact"/>
      <w:ind w:firstLine="570"/>
    </w:pPr>
    <w:rPr>
      <w:rFonts w:ascii="宋体"/>
      <w:sz w:val="28"/>
      <w:szCs w:val="20"/>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3"/>
    <w:qFormat/>
    <w:uiPriority w:val="0"/>
    <w:pPr>
      <w:ind w:firstLine="420" w:firstLineChars="200"/>
    </w:p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table" w:customStyle="1" w:styleId="14">
    <w:name w:val="Table Normal"/>
    <w:semiHidden/>
    <w:unhideWhenUsed/>
    <w:qFormat/>
    <w:uiPriority w:val="0"/>
    <w:rPr>
      <w:rFonts w:ascii="Arial" w:hAnsi="Arial" w:cs="Arial"/>
    </w:rPr>
    <w:tblPr>
      <w:tblCellMar>
        <w:top w:w="0" w:type="dxa"/>
        <w:left w:w="0" w:type="dxa"/>
        <w:bottom w:w="0" w:type="dxa"/>
        <w:right w:w="0" w:type="dxa"/>
      </w:tblCellMar>
    </w:tblPr>
  </w:style>
  <w:style w:type="table" w:customStyle="1" w:styleId="15">
    <w:name w:val="Table Normal1"/>
    <w:semiHidden/>
    <w:unhideWhenUsed/>
    <w:qFormat/>
    <w:uiPriority w:val="0"/>
    <w:rPr>
      <w:rFonts w:ascii="Arial" w:hAnsi="Arial" w:cs="Arial"/>
    </w:rPr>
    <w:tblPr>
      <w:tblCellMar>
        <w:top w:w="0" w:type="dxa"/>
        <w:left w:w="0" w:type="dxa"/>
        <w:bottom w:w="0" w:type="dxa"/>
        <w:right w:w="0" w:type="dxa"/>
      </w:tblCellMar>
    </w:tblPr>
  </w:style>
  <w:style w:type="character" w:customStyle="1" w:styleId="16">
    <w:name w:val="批注框文本 Char"/>
    <w:basedOn w:val="11"/>
    <w:link w:val="4"/>
    <w:semiHidden/>
    <w:qFormat/>
    <w:uiPriority w:val="99"/>
    <w:rPr>
      <w:sz w:val="18"/>
      <w:szCs w:val="18"/>
    </w:rPr>
  </w:style>
  <w:style w:type="paragraph" w:styleId="17">
    <w:name w:val="List Paragraph"/>
    <w:basedOn w:val="1"/>
    <w:qFormat/>
    <w:uiPriority w:val="99"/>
    <w:pPr>
      <w:ind w:firstLine="420" w:firstLineChars="200"/>
    </w:pPr>
  </w:style>
  <w:style w:type="paragraph" w:customStyle="1" w:styleId="1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84FF7-256F-4230-A865-270A8263C6F2}">
  <ds:schemaRefs/>
</ds:datastoreItem>
</file>

<file path=docProps/app.xml><?xml version="1.0" encoding="utf-8"?>
<Properties xmlns="http://schemas.openxmlformats.org/officeDocument/2006/extended-properties" xmlns:vt="http://schemas.openxmlformats.org/officeDocument/2006/docPropsVTypes">
  <Template>wdzx97.dot</Template>
  <Company>Lenovo</Company>
  <Pages>8</Pages>
  <Words>3005</Words>
  <Characters>3334</Characters>
  <Lines>22</Lines>
  <Paragraphs>6</Paragraphs>
  <TotalTime>0</TotalTime>
  <ScaleCrop>false</ScaleCrop>
  <LinksUpToDate>false</LinksUpToDate>
  <CharactersWithSpaces>3413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2025-11-24T07:40:00Z</dcterms:created>
  <dc:creator>陈旺</dc:creator>
  <cp:lastModifiedBy>冯志燕</cp:lastModifiedBy>
  <cp:lastPrinted>2025-08-05T08:06:00Z</cp:lastPrinted>
  <dcterms:modified xsi:type="dcterms:W3CDTF">2026-06-02T07:47:17Z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228AF7FDD9154420B986AF00961D82C4_13</vt:lpwstr>
  </property>
  <property fmtid="{D5CDD505-2E9C-101B-9397-08002B2CF9AE}" pid="4" name="KSOTemplateDocerSaveRecord">
    <vt:lpwstr>eyJoZGlkIjoiOTQxNTVkNWI0Y2E2ZWVhYzM0MjFhNjczYjNkMTI4MDgiLCJ1c2VySWQiOiI0NjEwOTE0NzIifQ==</vt:lpwstr>
  </property>
</Properties>
</file>