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F2E6C">
      <w:pPr>
        <w:spacing w:before="312" w:beforeLines="100" w:after="312" w:afterLines="100" w:line="480" w:lineRule="auto"/>
        <w:jc w:val="left"/>
        <w:rPr>
          <w:rFonts w:hint="default" w:ascii="仿宋_GB2312" w:hAnsi="宋体" w:eastAsia="仿宋_GB2312"/>
          <w:sz w:val="32"/>
          <w:lang w:val="en-US" w:eastAsia="zh-CN"/>
        </w:rPr>
      </w:pPr>
      <w:bookmarkStart w:id="0" w:name="_GoBack"/>
      <w:bookmarkEnd w:id="0"/>
      <w:r>
        <w:rPr>
          <w:rFonts w:hint="eastAsia" w:ascii="仿宋_GB2312" w:hAnsi="宋体" w:eastAsia="仿宋_GB2312"/>
          <w:sz w:val="32"/>
          <w:lang w:val="en-US" w:eastAsia="zh-CN"/>
        </w:rPr>
        <w:t>附件1</w:t>
      </w:r>
    </w:p>
    <w:p w14:paraId="5C6D2CDC">
      <w:pPr>
        <w:spacing w:line="360" w:lineRule="auto"/>
        <w:ind w:right="280"/>
        <w:rPr>
          <w:rFonts w:ascii="仿宋_GB2312" w:eastAsia="仿宋_GB2312"/>
          <w:sz w:val="44"/>
        </w:rPr>
      </w:pPr>
    </w:p>
    <w:p w14:paraId="719BFAA1">
      <w:pPr>
        <w:spacing w:line="360" w:lineRule="auto"/>
        <w:ind w:right="280"/>
        <w:jc w:val="center"/>
        <w:rPr>
          <w:rFonts w:hint="eastAsia" w:ascii="仿宋_GB2312" w:hAnsi="黑体" w:eastAsia="仿宋_GB2312"/>
          <w:sz w:val="44"/>
          <w:szCs w:val="44"/>
        </w:rPr>
      </w:pPr>
      <w:r>
        <w:rPr>
          <w:rFonts w:hint="eastAsia" w:ascii="仿宋_GB2312" w:hAnsi="黑体" w:eastAsia="仿宋_GB2312"/>
          <w:sz w:val="44"/>
          <w:szCs w:val="44"/>
        </w:rPr>
        <w:t>《</w:t>
      </w:r>
      <w:r>
        <w:rPr>
          <w:rFonts w:ascii="仿宋_GB2312" w:hAnsi="黑体" w:eastAsia="仿宋_GB2312"/>
          <w:sz w:val="44"/>
          <w:szCs w:val="44"/>
        </w:rPr>
        <w:t>鄂尔多斯市锦海达矿业有限公司</w:t>
      </w:r>
    </w:p>
    <w:p w14:paraId="635EE270">
      <w:pPr>
        <w:spacing w:line="360" w:lineRule="auto"/>
        <w:ind w:right="280"/>
        <w:jc w:val="center"/>
        <w:rPr>
          <w:rFonts w:hint="eastAsia" w:ascii="仿宋_GB2312" w:hAnsi="黑体" w:eastAsia="仿宋_GB2312"/>
          <w:sz w:val="44"/>
          <w:szCs w:val="44"/>
        </w:rPr>
      </w:pPr>
      <w:r>
        <w:rPr>
          <w:rFonts w:ascii="仿宋_GB2312" w:hAnsi="黑体" w:eastAsia="仿宋_GB2312"/>
          <w:sz w:val="44"/>
          <w:szCs w:val="44"/>
        </w:rPr>
        <w:t>石灰石矿</w:t>
      </w:r>
      <w:r>
        <w:rPr>
          <w:rFonts w:hint="eastAsia" w:ascii="仿宋_GB2312" w:hAnsi="黑体" w:eastAsia="仿宋_GB2312"/>
          <w:sz w:val="44"/>
          <w:szCs w:val="44"/>
        </w:rPr>
        <w:t>开采方案》</w:t>
      </w:r>
    </w:p>
    <w:p w14:paraId="4A21DFD1">
      <w:pPr>
        <w:spacing w:before="312" w:beforeLines="100" w:after="312" w:afterLines="100" w:line="480" w:lineRule="auto"/>
        <w:jc w:val="center"/>
        <w:rPr>
          <w:rFonts w:hint="eastAsia" w:ascii="仿宋_GB2312" w:hAnsi="宋体" w:eastAsia="仿宋_GB2312"/>
          <w:b/>
          <w:sz w:val="52"/>
          <w:szCs w:val="52"/>
        </w:rPr>
      </w:pPr>
      <w:r>
        <w:rPr>
          <w:rFonts w:hint="eastAsia" w:ascii="仿宋_GB2312" w:hAnsi="宋体" w:eastAsia="仿宋_GB2312"/>
          <w:b/>
          <w:sz w:val="52"/>
          <w:szCs w:val="52"/>
        </w:rPr>
        <w:t>评  审  意  见  书</w:t>
      </w:r>
    </w:p>
    <w:p w14:paraId="10943BCE">
      <w:pPr>
        <w:spacing w:before="312" w:beforeLines="100" w:after="312" w:afterLines="100" w:line="480" w:lineRule="auto"/>
        <w:jc w:val="center"/>
        <w:rPr>
          <w:rFonts w:hint="eastAsia" w:ascii="仿宋_GB2312" w:hAnsi="宋体" w:eastAsia="仿宋_GB2312"/>
          <w:sz w:val="32"/>
          <w:szCs w:val="32"/>
        </w:rPr>
      </w:pPr>
      <w:r>
        <w:rPr>
          <w:rFonts w:hint="eastAsia" w:ascii="仿宋_GB2312" w:hAnsi="宋体" w:eastAsia="仿宋_GB2312"/>
          <w:sz w:val="32"/>
        </w:rPr>
        <w:t>鄂自然审字</w:t>
      </w:r>
      <w:r>
        <w:rPr>
          <w:rFonts w:hint="eastAsia" w:ascii="仿宋_GB2312" w:hAnsi="宋体" w:eastAsia="仿宋_GB2312"/>
          <w:bCs/>
          <w:sz w:val="32"/>
        </w:rPr>
        <w:t>〔2026〕12</w:t>
      </w:r>
      <w:r>
        <w:rPr>
          <w:rFonts w:hint="eastAsia" w:ascii="仿宋_GB2312" w:hAnsi="宋体" w:eastAsia="仿宋_GB2312"/>
          <w:sz w:val="32"/>
          <w:szCs w:val="32"/>
        </w:rPr>
        <w:t>号</w:t>
      </w:r>
    </w:p>
    <w:p w14:paraId="21C71060">
      <w:pPr>
        <w:spacing w:before="312" w:beforeLines="100" w:after="312" w:afterLines="100" w:line="660" w:lineRule="exact"/>
        <w:jc w:val="center"/>
        <w:rPr>
          <w:rFonts w:hint="eastAsia" w:ascii="仿宋_GB2312" w:hAnsi="宋体" w:eastAsia="仿宋_GB2312"/>
          <w:sz w:val="44"/>
          <w:szCs w:val="36"/>
        </w:rPr>
      </w:pPr>
    </w:p>
    <w:p w14:paraId="6CCBF1BD">
      <w:pPr>
        <w:spacing w:before="312" w:beforeLines="100" w:after="312" w:afterLines="100" w:line="600" w:lineRule="exact"/>
        <w:jc w:val="center"/>
        <w:rPr>
          <w:rFonts w:hint="eastAsia" w:ascii="仿宋_GB2312" w:hAnsi="宋体" w:eastAsia="仿宋_GB2312"/>
          <w:sz w:val="32"/>
          <w:szCs w:val="32"/>
        </w:rPr>
      </w:pPr>
    </w:p>
    <w:p w14:paraId="6705C8B5">
      <w:pPr>
        <w:spacing w:before="312" w:beforeLines="100" w:after="312" w:afterLines="100" w:line="600" w:lineRule="exact"/>
        <w:jc w:val="center"/>
        <w:rPr>
          <w:rFonts w:hint="eastAsia" w:ascii="仿宋_GB2312" w:hAnsi="宋体" w:eastAsia="仿宋_GB2312"/>
          <w:sz w:val="32"/>
          <w:szCs w:val="32"/>
        </w:rPr>
      </w:pPr>
    </w:p>
    <w:p w14:paraId="63F1BB11">
      <w:pPr>
        <w:spacing w:before="312" w:beforeLines="100" w:after="312" w:afterLines="100" w:line="600" w:lineRule="exact"/>
        <w:rPr>
          <w:rFonts w:hint="eastAsia" w:ascii="仿宋_GB2312" w:hAnsi="宋体" w:eastAsia="仿宋_GB2312"/>
          <w:sz w:val="32"/>
          <w:szCs w:val="32"/>
        </w:rPr>
      </w:pPr>
    </w:p>
    <w:p w14:paraId="4BA269EB">
      <w:pPr>
        <w:spacing w:before="312" w:beforeLines="100" w:after="312" w:afterLines="100" w:line="600" w:lineRule="exact"/>
        <w:rPr>
          <w:rFonts w:hint="eastAsia" w:ascii="仿宋_GB2312" w:hAnsi="宋体" w:eastAsia="仿宋_GB2312"/>
          <w:sz w:val="32"/>
          <w:szCs w:val="32"/>
        </w:rPr>
      </w:pPr>
    </w:p>
    <w:p w14:paraId="30C6480B">
      <w:pPr>
        <w:spacing w:before="312" w:beforeLines="100" w:after="312" w:afterLines="100" w:line="600" w:lineRule="exact"/>
        <w:rPr>
          <w:rFonts w:hint="eastAsia" w:ascii="仿宋_GB2312" w:hAnsi="宋体" w:eastAsia="仿宋_GB2312"/>
          <w:sz w:val="32"/>
          <w:szCs w:val="32"/>
        </w:rPr>
      </w:pPr>
    </w:p>
    <w:p w14:paraId="41C6A882">
      <w:pPr>
        <w:spacing w:before="312" w:beforeLines="100" w:after="312" w:afterLines="100" w:line="600" w:lineRule="exact"/>
        <w:rPr>
          <w:rFonts w:hint="eastAsia" w:ascii="仿宋_GB2312" w:hAnsi="宋体" w:eastAsia="仿宋_GB2312"/>
          <w:sz w:val="32"/>
          <w:szCs w:val="32"/>
        </w:rPr>
      </w:pPr>
    </w:p>
    <w:p w14:paraId="7D3B6D3F">
      <w:pPr>
        <w:spacing w:before="312" w:beforeLines="100" w:after="312" w:afterLines="100" w:line="600" w:lineRule="exact"/>
        <w:ind w:left="100"/>
        <w:jc w:val="center"/>
        <w:rPr>
          <w:rFonts w:hint="eastAsia" w:ascii="仿宋_GB2312" w:hAnsi="宋体" w:eastAsia="仿宋_GB2312"/>
          <w:sz w:val="32"/>
          <w:szCs w:val="32"/>
        </w:rPr>
      </w:pPr>
      <w:r>
        <w:rPr>
          <w:rFonts w:hint="eastAsia" w:ascii="仿宋_GB2312" w:hAnsi="宋体" w:eastAsia="仿宋_GB2312"/>
          <w:sz w:val="32"/>
          <w:szCs w:val="32"/>
        </w:rPr>
        <w:t>2026年6月12日</w:t>
      </w:r>
    </w:p>
    <w:p w14:paraId="5D10E43D">
      <w:pPr>
        <w:spacing w:before="312" w:beforeLines="100" w:after="312" w:afterLines="100" w:line="600" w:lineRule="exact"/>
        <w:ind w:left="100"/>
        <w:jc w:val="center"/>
        <w:rPr>
          <w:rFonts w:hint="eastAsia" w:ascii="仿宋_GB2312" w:hAnsi="宋体" w:eastAsia="仿宋_GB2312"/>
          <w:sz w:val="32"/>
          <w:szCs w:val="32"/>
        </w:rPr>
      </w:pPr>
    </w:p>
    <w:p w14:paraId="6BDB0AE9">
      <w:pPr>
        <w:spacing w:line="800" w:lineRule="exact"/>
        <w:jc w:val="left"/>
        <w:rPr>
          <w:rFonts w:hint="eastAsia" w:ascii="仿宋_GB2312" w:hAnsi="宋体" w:eastAsia="仿宋_GB2312"/>
          <w:sz w:val="32"/>
          <w:szCs w:val="32"/>
        </w:rPr>
      </w:pPr>
      <w:r>
        <w:rPr>
          <w:rFonts w:hint="eastAsia" w:ascii="仿宋_GB2312" w:hAnsi="宋体" w:eastAsia="仿宋_GB2312"/>
          <w:spacing w:val="80"/>
          <w:kern w:val="0"/>
          <w:sz w:val="32"/>
          <w:szCs w:val="32"/>
        </w:rPr>
        <w:t>申</w:t>
      </w:r>
      <w:r>
        <w:rPr>
          <w:rFonts w:hint="eastAsia" w:ascii="仿宋_GB2312" w:hAnsi="宋体" w:eastAsia="仿宋_GB2312"/>
          <w:sz w:val="32"/>
          <w:szCs w:val="32"/>
        </w:rPr>
        <w:t>请 单 位：鄂尔多斯市锦海达矿业有限公司</w:t>
      </w:r>
    </w:p>
    <w:p w14:paraId="4D3E84C1">
      <w:pPr>
        <w:spacing w:line="800" w:lineRule="exact"/>
        <w:jc w:val="left"/>
        <w:rPr>
          <w:rFonts w:hint="eastAsia" w:ascii="仿宋_GB2312" w:hAnsi="宋体" w:eastAsia="仿宋_GB2312"/>
          <w:sz w:val="32"/>
          <w:szCs w:val="32"/>
        </w:rPr>
      </w:pPr>
      <w:r>
        <w:rPr>
          <w:rFonts w:hint="eastAsia" w:ascii="仿宋_GB2312" w:hAnsi="宋体" w:eastAsia="仿宋_GB2312"/>
          <w:sz w:val="32"/>
          <w:szCs w:val="32"/>
        </w:rPr>
        <w:t>编 制 单 位：内蒙古溥能矿业技术开发有限责任公司</w:t>
      </w:r>
    </w:p>
    <w:p w14:paraId="7277C08B">
      <w:pPr>
        <w:spacing w:line="800" w:lineRule="exact"/>
        <w:jc w:val="left"/>
        <w:rPr>
          <w:rFonts w:hint="eastAsia" w:ascii="仿宋_GB2312" w:hAnsi="宋体" w:eastAsia="仿宋_GB2312"/>
          <w:sz w:val="32"/>
          <w:szCs w:val="32"/>
        </w:rPr>
      </w:pPr>
      <w:r>
        <w:rPr>
          <w:rFonts w:hint="eastAsia" w:ascii="仿宋_GB2312" w:hAnsi="宋体" w:eastAsia="仿宋_GB2312"/>
          <w:sz w:val="32"/>
          <w:szCs w:val="32"/>
        </w:rPr>
        <w:t>主要编写人：</w:t>
      </w:r>
      <w:r>
        <w:rPr>
          <w:rFonts w:ascii="仿宋_GB2312" w:hAnsi="宋体" w:eastAsia="仿宋_GB2312"/>
          <w:sz w:val="32"/>
          <w:szCs w:val="32"/>
        </w:rPr>
        <w:t>穆春云</w:t>
      </w:r>
      <w:r>
        <w:rPr>
          <w:rFonts w:hint="eastAsia" w:ascii="仿宋_GB2312" w:hAnsi="宋体" w:eastAsia="仿宋_GB2312"/>
          <w:sz w:val="32"/>
          <w:szCs w:val="32"/>
        </w:rPr>
        <w:t xml:space="preserve"> </w:t>
      </w:r>
      <w:r>
        <w:rPr>
          <w:rFonts w:ascii="仿宋_GB2312" w:hAnsi="宋体" w:eastAsia="仿宋_GB2312"/>
          <w:sz w:val="32"/>
          <w:szCs w:val="32"/>
        </w:rPr>
        <w:t>訾建新</w:t>
      </w:r>
      <w:r>
        <w:rPr>
          <w:rFonts w:hint="eastAsia" w:ascii="仿宋_GB2312" w:hAnsi="宋体" w:eastAsia="仿宋_GB2312"/>
          <w:sz w:val="32"/>
          <w:szCs w:val="32"/>
        </w:rPr>
        <w:t xml:space="preserve"> </w:t>
      </w:r>
      <w:r>
        <w:rPr>
          <w:rFonts w:ascii="仿宋_GB2312" w:hAnsi="宋体" w:eastAsia="仿宋_GB2312"/>
          <w:sz w:val="32"/>
          <w:szCs w:val="32"/>
        </w:rPr>
        <w:t>王建锋</w:t>
      </w:r>
      <w:r>
        <w:rPr>
          <w:rFonts w:hint="eastAsia" w:ascii="仿宋_GB2312" w:hAnsi="宋体" w:eastAsia="仿宋_GB2312"/>
          <w:sz w:val="32"/>
          <w:szCs w:val="32"/>
        </w:rPr>
        <w:t xml:space="preserve"> </w:t>
      </w:r>
      <w:r>
        <w:rPr>
          <w:rFonts w:ascii="仿宋_GB2312" w:hAnsi="宋体" w:eastAsia="仿宋_GB2312"/>
          <w:sz w:val="32"/>
          <w:szCs w:val="32"/>
        </w:rPr>
        <w:t>朱晶晶</w:t>
      </w:r>
      <w:r>
        <w:rPr>
          <w:rFonts w:hint="eastAsia" w:ascii="仿宋_GB2312" w:hAnsi="宋体" w:eastAsia="仿宋_GB2312"/>
          <w:sz w:val="32"/>
          <w:szCs w:val="32"/>
        </w:rPr>
        <w:t xml:space="preserve"> </w:t>
      </w:r>
      <w:r>
        <w:rPr>
          <w:rFonts w:ascii="仿宋_GB2312" w:hAnsi="宋体" w:eastAsia="仿宋_GB2312"/>
          <w:sz w:val="32"/>
          <w:szCs w:val="32"/>
        </w:rPr>
        <w:t>王平</w:t>
      </w:r>
    </w:p>
    <w:p w14:paraId="77228BEE">
      <w:pPr>
        <w:spacing w:line="800" w:lineRule="exact"/>
        <w:jc w:val="left"/>
        <w:rPr>
          <w:rFonts w:hint="eastAsia" w:ascii="仿宋_GB2312" w:hAnsi="宋体" w:eastAsia="仿宋_GB2312"/>
          <w:sz w:val="32"/>
          <w:szCs w:val="32"/>
        </w:rPr>
      </w:pPr>
      <w:r>
        <w:rPr>
          <w:rFonts w:hint="eastAsia" w:ascii="仿宋_GB2312" w:hAnsi="宋体" w:eastAsia="仿宋_GB2312"/>
          <w:spacing w:val="80"/>
          <w:kern w:val="0"/>
          <w:sz w:val="32"/>
          <w:szCs w:val="32"/>
        </w:rPr>
        <w:t>编制日期：</w:t>
      </w:r>
      <w:r>
        <w:rPr>
          <w:rFonts w:hint="eastAsia" w:ascii="仿宋_GB2312" w:hAnsi="宋体" w:eastAsia="仿宋_GB2312"/>
          <w:sz w:val="32"/>
          <w:szCs w:val="32"/>
        </w:rPr>
        <w:t>2025年12月</w:t>
      </w:r>
    </w:p>
    <w:p w14:paraId="035F17FC">
      <w:pPr>
        <w:spacing w:line="800" w:lineRule="exact"/>
        <w:jc w:val="left"/>
        <w:rPr>
          <w:rFonts w:hint="eastAsia" w:ascii="仿宋_GB2312" w:hAnsi="宋体" w:eastAsia="仿宋_GB2312"/>
          <w:sz w:val="32"/>
          <w:szCs w:val="32"/>
        </w:rPr>
      </w:pPr>
      <w:r>
        <w:rPr>
          <w:rFonts w:hint="eastAsia" w:ascii="仿宋_GB2312" w:hAnsi="宋体" w:eastAsia="仿宋_GB2312"/>
          <w:spacing w:val="80"/>
          <w:kern w:val="0"/>
          <w:sz w:val="32"/>
          <w:szCs w:val="32"/>
        </w:rPr>
        <w:t>受理日期：</w:t>
      </w:r>
      <w:r>
        <w:rPr>
          <w:rFonts w:hint="eastAsia" w:ascii="仿宋_GB2312" w:hAnsi="宋体" w:eastAsia="仿宋_GB2312"/>
          <w:sz w:val="32"/>
          <w:szCs w:val="32"/>
        </w:rPr>
        <w:t>2026年4月20日</w:t>
      </w:r>
    </w:p>
    <w:p w14:paraId="7227CF06">
      <w:pPr>
        <w:spacing w:line="800" w:lineRule="exact"/>
        <w:jc w:val="left"/>
        <w:rPr>
          <w:rFonts w:hint="eastAsia" w:ascii="仿宋_GB2312" w:hAnsi="宋体" w:eastAsia="仿宋_GB2312"/>
          <w:sz w:val="32"/>
          <w:szCs w:val="32"/>
        </w:rPr>
      </w:pPr>
      <w:r>
        <w:rPr>
          <w:rFonts w:hint="eastAsia" w:ascii="仿宋_GB2312" w:hAnsi="宋体" w:eastAsia="仿宋_GB2312"/>
          <w:spacing w:val="240"/>
          <w:kern w:val="0"/>
          <w:sz w:val="32"/>
          <w:szCs w:val="32"/>
        </w:rPr>
        <w:t>汇报</w:t>
      </w:r>
      <w:r>
        <w:rPr>
          <w:rFonts w:hint="eastAsia" w:ascii="仿宋_GB2312" w:hAnsi="宋体" w:eastAsia="仿宋_GB2312"/>
          <w:kern w:val="0"/>
          <w:sz w:val="32"/>
          <w:szCs w:val="32"/>
        </w:rPr>
        <w:t>人</w:t>
      </w:r>
      <w:r>
        <w:rPr>
          <w:rFonts w:hint="eastAsia" w:ascii="仿宋_GB2312" w:hAnsi="宋体" w:eastAsia="仿宋_GB2312"/>
          <w:sz w:val="32"/>
          <w:szCs w:val="32"/>
        </w:rPr>
        <w:t>：</w:t>
      </w:r>
      <w:r>
        <w:rPr>
          <w:rFonts w:ascii="仿宋_GB2312" w:hAnsi="宋体" w:eastAsia="仿宋_GB2312"/>
          <w:sz w:val="32"/>
          <w:szCs w:val="32"/>
        </w:rPr>
        <w:t>穆春云</w:t>
      </w:r>
    </w:p>
    <w:p w14:paraId="7C3E0705">
      <w:pPr>
        <w:spacing w:line="800" w:lineRule="exact"/>
        <w:jc w:val="left"/>
        <w:rPr>
          <w:rFonts w:hint="eastAsia" w:ascii="仿宋_GB2312" w:hAnsi="宋体" w:eastAsia="仿宋_GB2312"/>
          <w:sz w:val="32"/>
          <w:szCs w:val="32"/>
        </w:rPr>
      </w:pPr>
      <w:r>
        <w:rPr>
          <w:rFonts w:hint="eastAsia" w:ascii="仿宋_GB2312" w:hAnsi="宋体" w:eastAsia="仿宋_GB2312"/>
          <w:spacing w:val="40"/>
          <w:kern w:val="0"/>
          <w:sz w:val="32"/>
          <w:szCs w:val="32"/>
        </w:rPr>
        <w:t>评审专家</w:t>
      </w:r>
      <w:r>
        <w:rPr>
          <w:rFonts w:hint="eastAsia" w:ascii="仿宋_GB2312" w:hAnsi="宋体" w:eastAsia="仿宋_GB2312"/>
          <w:kern w:val="0"/>
          <w:sz w:val="32"/>
          <w:szCs w:val="32"/>
        </w:rPr>
        <w:t>组</w:t>
      </w:r>
    </w:p>
    <w:p w14:paraId="72A0561B">
      <w:pPr>
        <w:spacing w:line="800" w:lineRule="exact"/>
        <w:ind w:firstLine="960" w:firstLineChars="300"/>
        <w:jc w:val="left"/>
        <w:rPr>
          <w:rFonts w:hint="eastAsia" w:ascii="仿宋_GB2312" w:hAnsi="宋体" w:eastAsia="仿宋_GB2312"/>
          <w:sz w:val="32"/>
          <w:szCs w:val="32"/>
        </w:rPr>
      </w:pPr>
      <w:r>
        <w:rPr>
          <w:rFonts w:hint="eastAsia" w:ascii="仿宋_GB2312" w:hAnsi="宋体" w:eastAsia="仿宋_GB2312"/>
          <w:sz w:val="32"/>
          <w:szCs w:val="32"/>
        </w:rPr>
        <w:t>组  长：郝庆利（采矿工程）</w:t>
      </w:r>
    </w:p>
    <w:p w14:paraId="224440A1">
      <w:pPr>
        <w:spacing w:line="800" w:lineRule="exact"/>
        <w:ind w:firstLine="960" w:firstLineChars="150"/>
        <w:jc w:val="left"/>
        <w:rPr>
          <w:rFonts w:hint="eastAsia" w:ascii="仿宋_GB2312" w:hAnsi="宋体" w:eastAsia="仿宋_GB2312"/>
          <w:sz w:val="32"/>
          <w:szCs w:val="32"/>
        </w:rPr>
      </w:pPr>
      <w:r>
        <w:rPr>
          <w:rFonts w:hint="eastAsia" w:ascii="仿宋_GB2312" w:hAnsi="宋体" w:eastAsia="仿宋_GB2312"/>
          <w:spacing w:val="160"/>
          <w:kern w:val="0"/>
          <w:sz w:val="32"/>
          <w:szCs w:val="32"/>
        </w:rPr>
        <w:t>成</w:t>
      </w:r>
      <w:r>
        <w:rPr>
          <w:rFonts w:hint="eastAsia" w:ascii="仿宋_GB2312" w:hAnsi="宋体" w:eastAsia="仿宋_GB2312"/>
          <w:kern w:val="0"/>
          <w:sz w:val="32"/>
          <w:szCs w:val="32"/>
        </w:rPr>
        <w:t>员</w:t>
      </w:r>
      <w:r>
        <w:rPr>
          <w:rFonts w:hint="eastAsia" w:ascii="仿宋_GB2312" w:hAnsi="宋体" w:eastAsia="仿宋_GB2312"/>
          <w:sz w:val="32"/>
          <w:szCs w:val="32"/>
        </w:rPr>
        <w:t>：单兴顺（采矿工程）</w:t>
      </w:r>
    </w:p>
    <w:p w14:paraId="0C143D6D">
      <w:pPr>
        <w:spacing w:line="800" w:lineRule="exact"/>
        <w:ind w:firstLine="2240" w:firstLineChars="700"/>
        <w:jc w:val="left"/>
        <w:rPr>
          <w:rFonts w:hint="eastAsia" w:ascii="仿宋_GB2312" w:hAnsi="宋体" w:eastAsia="仿宋_GB2312"/>
          <w:sz w:val="32"/>
          <w:szCs w:val="32"/>
        </w:rPr>
      </w:pPr>
      <w:r>
        <w:rPr>
          <w:rFonts w:hint="eastAsia" w:ascii="仿宋_GB2312" w:hAnsi="宋体" w:eastAsia="仿宋_GB2312"/>
          <w:sz w:val="32"/>
          <w:szCs w:val="32"/>
        </w:rPr>
        <w:t>邢志强（地质矿产）</w:t>
      </w:r>
    </w:p>
    <w:p w14:paraId="008BE672">
      <w:pPr>
        <w:spacing w:line="800" w:lineRule="exact"/>
        <w:ind w:firstLine="2240" w:firstLineChars="700"/>
        <w:jc w:val="left"/>
        <w:rPr>
          <w:rFonts w:hint="eastAsia" w:ascii="仿宋_GB2312" w:hAnsi="宋体" w:eastAsia="仿宋_GB2312"/>
          <w:sz w:val="32"/>
          <w:szCs w:val="32"/>
        </w:rPr>
      </w:pPr>
      <w:r>
        <w:rPr>
          <w:rFonts w:hint="eastAsia" w:ascii="仿宋_GB2312" w:hAnsi="宋体" w:eastAsia="仿宋_GB2312"/>
          <w:sz w:val="32"/>
          <w:szCs w:val="32"/>
        </w:rPr>
        <w:t>张  娟（水工环）</w:t>
      </w:r>
    </w:p>
    <w:p w14:paraId="7AFF4365">
      <w:pPr>
        <w:spacing w:line="800" w:lineRule="exact"/>
        <w:ind w:firstLine="2240" w:firstLineChars="700"/>
        <w:jc w:val="left"/>
        <w:rPr>
          <w:rFonts w:hint="eastAsia" w:ascii="仿宋_GB2312" w:hAnsi="宋体" w:eastAsia="仿宋_GB2312"/>
          <w:sz w:val="32"/>
          <w:szCs w:val="32"/>
        </w:rPr>
      </w:pPr>
      <w:r>
        <w:rPr>
          <w:rFonts w:hint="eastAsia" w:ascii="仿宋_GB2312" w:hAnsi="宋体" w:eastAsia="仿宋_GB2312"/>
          <w:sz w:val="32"/>
          <w:szCs w:val="32"/>
        </w:rPr>
        <w:t>樊丽丽（选 冶）</w:t>
      </w:r>
    </w:p>
    <w:p w14:paraId="550FCDA2">
      <w:pPr>
        <w:spacing w:line="800" w:lineRule="exact"/>
        <w:jc w:val="left"/>
        <w:rPr>
          <w:rFonts w:hint="eastAsia" w:ascii="仿宋_GB2312" w:hAnsi="宋体" w:eastAsia="仿宋_GB2312"/>
          <w:sz w:val="32"/>
          <w:szCs w:val="32"/>
        </w:rPr>
      </w:pPr>
      <w:r>
        <w:rPr>
          <w:rFonts w:hint="eastAsia" w:ascii="仿宋_GB2312" w:hAnsi="宋体" w:eastAsia="仿宋_GB2312"/>
          <w:spacing w:val="80"/>
          <w:kern w:val="0"/>
          <w:sz w:val="32"/>
          <w:szCs w:val="32"/>
        </w:rPr>
        <w:t>评审方式：</w:t>
      </w:r>
      <w:r>
        <w:rPr>
          <w:rFonts w:hint="eastAsia" w:ascii="仿宋_GB2312" w:eastAsia="仿宋_GB2312"/>
          <w:sz w:val="32"/>
        </w:rPr>
        <w:t>会议评审</w:t>
      </w:r>
    </w:p>
    <w:p w14:paraId="5A50AA19">
      <w:pPr>
        <w:spacing w:line="800" w:lineRule="exact"/>
        <w:jc w:val="left"/>
        <w:rPr>
          <w:rFonts w:ascii="仿宋_GB2312" w:hAnsi="宋体" w:eastAsia="仿宋_GB2312"/>
          <w:sz w:val="32"/>
          <w:szCs w:val="32"/>
        </w:rPr>
      </w:pPr>
      <w:r>
        <w:rPr>
          <w:rFonts w:hint="eastAsia" w:ascii="仿宋_GB2312" w:hAnsi="宋体" w:eastAsia="仿宋_GB2312"/>
          <w:spacing w:val="80"/>
          <w:kern w:val="0"/>
          <w:sz w:val="32"/>
          <w:szCs w:val="32"/>
        </w:rPr>
        <w:t>评审日期：</w:t>
      </w:r>
      <w:r>
        <w:rPr>
          <w:rFonts w:hint="eastAsia" w:ascii="仿宋_GB2312" w:hAnsi="宋体" w:eastAsia="仿宋_GB2312"/>
          <w:sz w:val="32"/>
          <w:szCs w:val="32"/>
        </w:rPr>
        <w:t>2026年4月23日</w:t>
      </w:r>
    </w:p>
    <w:p w14:paraId="72F77E30">
      <w:pPr>
        <w:spacing w:line="800" w:lineRule="exact"/>
        <w:jc w:val="left"/>
        <w:rPr>
          <w:rFonts w:hint="eastAsia" w:ascii="仿宋_GB2312" w:hAnsi="宋体" w:eastAsia="仿宋_GB2312"/>
          <w:sz w:val="32"/>
          <w:szCs w:val="32"/>
        </w:rPr>
      </w:pPr>
      <w:r>
        <w:rPr>
          <w:rFonts w:hint="eastAsia" w:ascii="仿宋_GB2312" w:hAnsi="宋体" w:eastAsia="仿宋_GB2312"/>
          <w:sz w:val="32"/>
          <w:szCs w:val="32"/>
        </w:rPr>
        <w:t>复 核 日 期：  2026年6月12日</w:t>
      </w:r>
    </w:p>
    <w:p w14:paraId="639A70A6">
      <w:pPr>
        <w:spacing w:line="800" w:lineRule="exact"/>
        <w:jc w:val="left"/>
        <w:rPr>
          <w:rFonts w:hint="eastAsia" w:ascii="仿宋_GB2312" w:hAnsi="宋体" w:eastAsia="仿宋_GB2312"/>
          <w:sz w:val="32"/>
          <w:szCs w:val="32"/>
        </w:rPr>
      </w:pPr>
      <w:r>
        <w:rPr>
          <w:rFonts w:hint="eastAsia" w:ascii="仿宋_GB2312" w:hAnsi="宋体" w:eastAsia="仿宋_GB2312"/>
          <w:spacing w:val="80"/>
          <w:kern w:val="0"/>
          <w:sz w:val="32"/>
          <w:szCs w:val="32"/>
        </w:rPr>
        <w:t>评审地点：</w:t>
      </w:r>
      <w:r>
        <w:rPr>
          <w:rFonts w:hint="eastAsia" w:ascii="仿宋_GB2312" w:eastAsia="仿宋_GB2312"/>
          <w:sz w:val="32"/>
        </w:rPr>
        <w:t>呼和浩特市</w:t>
      </w:r>
    </w:p>
    <w:p w14:paraId="460AC930">
      <w:pPr>
        <w:spacing w:line="500" w:lineRule="exact"/>
        <w:rPr>
          <w:bCs/>
        </w:rPr>
      </w:pPr>
      <w:r>
        <w:rPr>
          <w:rFonts w:hint="eastAsia"/>
          <w:bCs/>
        </w:rPr>
        <w:br w:type="page"/>
      </w:r>
    </w:p>
    <w:p w14:paraId="2DB39B09">
      <w:pPr>
        <w:spacing w:line="540" w:lineRule="exact"/>
        <w:ind w:firstLine="560" w:firstLineChars="200"/>
        <w:rPr>
          <w:rFonts w:hint="eastAsia" w:ascii="仿宋" w:hAnsi="仿宋" w:eastAsia="仿宋"/>
          <w:bCs/>
          <w:sz w:val="28"/>
          <w:szCs w:val="28"/>
        </w:rPr>
      </w:pPr>
      <w:r>
        <w:rPr>
          <w:rFonts w:hint="eastAsia" w:ascii="仿宋" w:hAnsi="仿宋" w:eastAsia="仿宋"/>
          <w:bCs/>
          <w:sz w:val="28"/>
          <w:szCs w:val="28"/>
        </w:rPr>
        <w:t>鄂尔多斯市地质调查监测院依据《内蒙古自治区自然资源厅关于做好&lt;矿产资源法&gt;实施衔接过渡期矿产资源勘查方案、开采方案评审工作的公告》（公告〔2025〕27号）和《内蒙古自治区自然资源厅关于发布矿产资源勘查方案、开采方案评审临时服务指南的公告》（公告〔2025〕30号）等文件，于2026年4月23日在呼和浩特市组织专家对鄂尔多斯市锦海达矿业有限公司提交、内蒙古溥能矿业技术开发有限责任公司编制的《</w:t>
      </w:r>
      <w:r>
        <w:rPr>
          <w:rFonts w:ascii="仿宋" w:hAnsi="仿宋" w:eastAsia="仿宋"/>
          <w:bCs/>
          <w:sz w:val="28"/>
          <w:szCs w:val="28"/>
        </w:rPr>
        <w:t>鄂尔多斯市锦海达矿业有限公司石灰石矿开采方案</w:t>
      </w:r>
      <w:r>
        <w:rPr>
          <w:rFonts w:hint="eastAsia" w:ascii="仿宋" w:hAnsi="仿宋" w:eastAsia="仿宋"/>
          <w:bCs/>
          <w:sz w:val="28"/>
          <w:szCs w:val="28"/>
        </w:rPr>
        <w:t>》（以下简称《开采方案》）进行了评审。会后提交单位按专家组意见对《开采方案》进行了修改完善，于2026年5月25日返回修改稿，经专家组复核后形成仅供矿业权管理使用的评审意见如下：</w:t>
      </w:r>
    </w:p>
    <w:p w14:paraId="0DE782C7">
      <w:pPr>
        <w:spacing w:line="540" w:lineRule="exact"/>
        <w:ind w:firstLine="560" w:firstLineChars="200"/>
        <w:rPr>
          <w:rFonts w:ascii="Calibri" w:hAnsi="Calibri" w:eastAsia="宋体" w:cs="Times New Roman"/>
          <w:szCs w:val="21"/>
        </w:rPr>
      </w:pPr>
      <w:r>
        <w:rPr>
          <w:rFonts w:hint="eastAsia" w:ascii="黑体" w:hAnsi="黑体" w:eastAsia="黑体" w:cs="Times New Roman"/>
          <w:sz w:val="28"/>
          <w:szCs w:val="28"/>
        </w:rPr>
        <w:t>一、开采方案编制目的</w:t>
      </w:r>
    </w:p>
    <w:p w14:paraId="1C303D04">
      <w:pPr>
        <w:spacing w:line="540" w:lineRule="exact"/>
        <w:ind w:firstLine="560" w:firstLineChars="200"/>
        <w:rPr>
          <w:rFonts w:hint="eastAsia" w:ascii="仿宋" w:hAnsi="仿宋" w:eastAsia="仿宋"/>
          <w:sz w:val="28"/>
          <w:szCs w:val="28"/>
        </w:rPr>
      </w:pPr>
      <w:r>
        <w:rPr>
          <w:rFonts w:hint="eastAsia" w:ascii="仿宋" w:hAnsi="仿宋" w:eastAsia="仿宋"/>
          <w:sz w:val="28"/>
          <w:szCs w:val="28"/>
        </w:rPr>
        <w:t>《开采方案》编制目的</w:t>
      </w:r>
      <w:r>
        <w:rPr>
          <w:rFonts w:hint="eastAsia" w:ascii="Segoe UI Symbol" w:hAnsi="Segoe UI Symbol" w:eastAsia="仿宋" w:cs="Segoe UI Symbol"/>
          <w:sz w:val="28"/>
          <w:szCs w:val="28"/>
        </w:rPr>
        <w:t>为</w:t>
      </w:r>
      <w:r>
        <w:rPr>
          <w:rFonts w:ascii="仿宋" w:hAnsi="仿宋" w:eastAsia="仿宋"/>
          <w:sz w:val="28"/>
          <w:szCs w:val="28"/>
        </w:rPr>
        <w:t>缩小开采区域</w:t>
      </w:r>
      <w:r>
        <w:rPr>
          <w:rFonts w:hint="eastAsia" w:ascii="仿宋" w:hAnsi="仿宋" w:eastAsia="仿宋"/>
          <w:sz w:val="28"/>
          <w:szCs w:val="28"/>
        </w:rPr>
        <w:t>。</w:t>
      </w:r>
    </w:p>
    <w:p w14:paraId="184A179A">
      <w:pPr>
        <w:spacing w:line="540" w:lineRule="exact"/>
        <w:ind w:firstLine="560" w:firstLineChars="200"/>
        <w:rPr>
          <w:rFonts w:ascii="Calibri" w:hAnsi="Calibri" w:eastAsia="宋体" w:cs="Times New Roman"/>
          <w:szCs w:val="21"/>
        </w:rPr>
      </w:pPr>
      <w:r>
        <w:rPr>
          <w:rFonts w:hint="eastAsia" w:ascii="黑体" w:hAnsi="黑体" w:eastAsia="黑体" w:cs="Times New Roman"/>
          <w:sz w:val="28"/>
          <w:szCs w:val="28"/>
        </w:rPr>
        <w:t>二、矿区地质与矿产资源情况</w:t>
      </w:r>
    </w:p>
    <w:p w14:paraId="2A473C5C">
      <w:pPr>
        <w:spacing w:line="540" w:lineRule="exact"/>
        <w:ind w:firstLine="560" w:firstLineChars="200"/>
        <w:rPr>
          <w:rFonts w:hint="eastAsia" w:ascii="仿宋" w:hAnsi="仿宋" w:eastAsia="仿宋"/>
          <w:sz w:val="28"/>
          <w:szCs w:val="28"/>
        </w:rPr>
      </w:pPr>
      <w:r>
        <w:rPr>
          <w:rFonts w:hint="eastAsia" w:ascii="仿宋" w:hAnsi="仿宋" w:eastAsia="仿宋"/>
          <w:sz w:val="28"/>
          <w:szCs w:val="28"/>
        </w:rPr>
        <w:t>依据《</w:t>
      </w:r>
      <w:r>
        <w:rPr>
          <w:rFonts w:ascii="仿宋" w:hAnsi="仿宋" w:eastAsia="仿宋"/>
          <w:sz w:val="28"/>
          <w:szCs w:val="28"/>
        </w:rPr>
        <w:t>内蒙古自治区鄂尔多斯市锦海达矿业有限公司石灰石矿矿区制灰用石灰岩矿资源储量核实报告</w:t>
      </w:r>
      <w:r>
        <w:rPr>
          <w:rFonts w:hint="eastAsia" w:ascii="仿宋" w:hAnsi="仿宋" w:eastAsia="仿宋"/>
          <w:sz w:val="28"/>
          <w:szCs w:val="28"/>
        </w:rPr>
        <w:t>》评审意见书（鄂自然资储评字</w:t>
      </w:r>
      <w:r>
        <w:rPr>
          <w:rFonts w:ascii="仿宋" w:hAnsi="仿宋" w:eastAsia="仿宋"/>
          <w:sz w:val="28"/>
          <w:szCs w:val="28"/>
        </w:rPr>
        <w:t>〔2023〕4号</w:t>
      </w:r>
      <w:r>
        <w:rPr>
          <w:rFonts w:hint="eastAsia" w:ascii="仿宋" w:hAnsi="仿宋" w:eastAsia="仿宋"/>
          <w:sz w:val="28"/>
          <w:szCs w:val="28"/>
        </w:rPr>
        <w:t>）和</w:t>
      </w:r>
      <w:r>
        <w:rPr>
          <w:rFonts w:ascii="仿宋" w:hAnsi="仿宋" w:eastAsia="仿宋"/>
          <w:sz w:val="28"/>
          <w:szCs w:val="28"/>
        </w:rPr>
        <w:t>评审备案</w:t>
      </w:r>
      <w:r>
        <w:rPr>
          <w:rFonts w:hint="eastAsia" w:ascii="仿宋" w:hAnsi="仿宋" w:eastAsia="仿宋"/>
          <w:sz w:val="28"/>
          <w:szCs w:val="28"/>
        </w:rPr>
        <w:t>的复函（鄂自然资储备字</w:t>
      </w:r>
      <w:r>
        <w:rPr>
          <w:rFonts w:ascii="仿宋" w:hAnsi="仿宋" w:eastAsia="仿宋"/>
          <w:sz w:val="28"/>
          <w:szCs w:val="28"/>
        </w:rPr>
        <w:t>〔2023〕5号</w:t>
      </w:r>
      <w:r>
        <w:rPr>
          <w:rFonts w:hint="eastAsia" w:ascii="仿宋" w:hAnsi="仿宋" w:eastAsia="仿宋"/>
          <w:sz w:val="28"/>
          <w:szCs w:val="28"/>
        </w:rPr>
        <w:t>），</w:t>
      </w:r>
      <w:r>
        <w:rPr>
          <w:rFonts w:ascii="仿宋" w:hAnsi="仿宋" w:eastAsia="仿宋"/>
          <w:sz w:val="28"/>
          <w:szCs w:val="28"/>
        </w:rPr>
        <w:t>勘查程度达到勘探阶段的要求</w:t>
      </w:r>
      <w:r>
        <w:rPr>
          <w:rFonts w:hint="eastAsia" w:ascii="仿宋" w:hAnsi="仿宋" w:eastAsia="仿宋"/>
          <w:sz w:val="28"/>
          <w:szCs w:val="28"/>
        </w:rPr>
        <w:t>，可以作为编制开采方案的依据。</w:t>
      </w:r>
    </w:p>
    <w:p w14:paraId="09E35617">
      <w:pPr>
        <w:pStyle w:val="13"/>
        <w:spacing w:line="540" w:lineRule="exact"/>
        <w:rPr>
          <w:rFonts w:hint="eastAsia" w:ascii="仿宋" w:hAnsi="仿宋" w:eastAsia="仿宋"/>
        </w:rPr>
      </w:pPr>
      <w:r>
        <w:rPr>
          <w:rFonts w:ascii="仿宋" w:hAnsi="仿宋" w:eastAsia="仿宋"/>
        </w:rPr>
        <w:t>截止2022年8月31日，矿区累计查明制灰用石灰岩矿资源量9791.3万吨，其中探明资源量2120.0万吨，控制资源量3738.5万吨，推断资源量3932.8万吨。消耗控制资源量27.4万吨，消耗推断资源量75.9万吨。保有资源量9688.0万吨，其中探明资源量2120.0万吨，控制资源量3711.1万吨，推断资源量3856.9万吨</w:t>
      </w:r>
      <w:r>
        <w:rPr>
          <w:rFonts w:hint="eastAsia" w:ascii="仿宋" w:hAnsi="仿宋" w:eastAsia="仿宋"/>
        </w:rPr>
        <w:t>。</w:t>
      </w:r>
    </w:p>
    <w:p w14:paraId="716A65F7">
      <w:pPr>
        <w:pStyle w:val="13"/>
        <w:spacing w:line="540" w:lineRule="exact"/>
        <w:rPr>
          <w:rFonts w:hint="eastAsia" w:ascii="仿宋" w:hAnsi="仿宋" w:eastAsia="仿宋"/>
        </w:rPr>
      </w:pPr>
      <w:r>
        <w:rPr>
          <w:rFonts w:hint="eastAsia" w:ascii="仿宋" w:hAnsi="仿宋" w:eastAsia="仿宋"/>
        </w:rPr>
        <w:t>矿石中其他组分含量较低，均未达到伴生元素综合利用指标要求。</w:t>
      </w:r>
    </w:p>
    <w:p w14:paraId="0DD1D459">
      <w:pPr>
        <w:pStyle w:val="13"/>
        <w:spacing w:line="540" w:lineRule="exact"/>
        <w:rPr>
          <w:rFonts w:hint="eastAsia" w:ascii="仿宋" w:hAnsi="仿宋" w:eastAsia="仿宋"/>
        </w:rPr>
      </w:pPr>
      <w:r>
        <w:rPr>
          <w:rFonts w:hint="eastAsia" w:ascii="仿宋" w:hAnsi="仿宋" w:eastAsia="仿宋"/>
        </w:rPr>
        <w:t>《开采方案》</w:t>
      </w:r>
      <w:r>
        <w:rPr>
          <w:rFonts w:ascii="仿宋" w:hAnsi="仿宋" w:eastAsia="仿宋"/>
        </w:rPr>
        <w:t>设计利用资源量8255.57万吨，平均品位：CaCO</w:t>
      </w:r>
      <w:r>
        <w:rPr>
          <w:rFonts w:ascii="仿宋" w:hAnsi="仿宋" w:eastAsia="仿宋"/>
          <w:vertAlign w:val="subscript"/>
        </w:rPr>
        <w:t>3</w:t>
      </w:r>
      <w:r>
        <w:rPr>
          <w:rFonts w:ascii="仿宋" w:hAnsi="仿宋" w:eastAsia="仿宋"/>
        </w:rPr>
        <w:t>+MgCO</w:t>
      </w:r>
      <w:r>
        <w:rPr>
          <w:rFonts w:ascii="仿宋" w:hAnsi="仿宋" w:eastAsia="仿宋"/>
          <w:vertAlign w:val="subscript"/>
        </w:rPr>
        <w:t>3</w:t>
      </w:r>
      <w:r>
        <w:rPr>
          <w:rFonts w:ascii="仿宋" w:hAnsi="仿宋" w:eastAsia="仿宋"/>
        </w:rPr>
        <w:t>95.49%、粘土质及残渣4.99%</w:t>
      </w:r>
      <w:r>
        <w:rPr>
          <w:rFonts w:hint="eastAsia" w:ascii="仿宋" w:hAnsi="仿宋" w:eastAsia="仿宋"/>
        </w:rPr>
        <w:t>，</w:t>
      </w:r>
      <w:r>
        <w:rPr>
          <w:rFonts w:ascii="仿宋" w:hAnsi="仿宋" w:eastAsia="仿宋"/>
        </w:rPr>
        <w:t>可采储量</w:t>
      </w:r>
      <w:r>
        <w:rPr>
          <w:rFonts w:hint="eastAsia" w:ascii="仿宋" w:hAnsi="仿宋" w:eastAsia="仿宋"/>
        </w:rPr>
        <w:t>为</w:t>
      </w:r>
      <w:r>
        <w:rPr>
          <w:rFonts w:ascii="仿宋" w:hAnsi="仿宋" w:eastAsia="仿宋"/>
        </w:rPr>
        <w:t>7842.79万吨</w:t>
      </w:r>
      <w:r>
        <w:rPr>
          <w:rFonts w:hint="eastAsia" w:ascii="仿宋" w:hAnsi="仿宋" w:eastAsia="仿宋"/>
        </w:rPr>
        <w:t>，</w:t>
      </w:r>
      <w:r>
        <w:rPr>
          <w:rFonts w:ascii="仿宋" w:hAnsi="仿宋" w:eastAsia="仿宋"/>
        </w:rPr>
        <w:t>采出矿石平均品位：CaCO</w:t>
      </w:r>
      <w:r>
        <w:rPr>
          <w:rFonts w:ascii="仿宋" w:hAnsi="仿宋" w:eastAsia="仿宋"/>
          <w:vertAlign w:val="subscript"/>
        </w:rPr>
        <w:t>3</w:t>
      </w:r>
      <w:r>
        <w:rPr>
          <w:rFonts w:ascii="仿宋" w:hAnsi="仿宋" w:eastAsia="仿宋"/>
        </w:rPr>
        <w:t>+MgCO</w:t>
      </w:r>
      <w:r>
        <w:rPr>
          <w:rFonts w:ascii="仿宋" w:hAnsi="仿宋" w:eastAsia="仿宋"/>
          <w:vertAlign w:val="subscript"/>
        </w:rPr>
        <w:t>3</w:t>
      </w:r>
      <w:r>
        <w:rPr>
          <w:rFonts w:ascii="仿宋" w:hAnsi="仿宋" w:eastAsia="仿宋"/>
        </w:rPr>
        <w:t>93.58%、粘土质及残渣4.89%</w:t>
      </w:r>
      <w:r>
        <w:rPr>
          <w:rFonts w:hint="eastAsia" w:ascii="仿宋" w:hAnsi="仿宋" w:eastAsia="仿宋"/>
        </w:rPr>
        <w:t>。</w:t>
      </w:r>
    </w:p>
    <w:p w14:paraId="1066AEF1">
      <w:pPr>
        <w:spacing w:line="540" w:lineRule="exact"/>
        <w:ind w:firstLine="560" w:firstLineChars="200"/>
        <w:rPr>
          <w:rFonts w:ascii="Calibri" w:hAnsi="Calibri" w:eastAsia="宋体" w:cs="Times New Roman"/>
          <w:szCs w:val="21"/>
        </w:rPr>
      </w:pPr>
      <w:r>
        <w:rPr>
          <w:rFonts w:hint="eastAsia" w:ascii="黑体" w:hAnsi="黑体" w:eastAsia="黑体" w:cs="Times New Roman"/>
          <w:sz w:val="28"/>
          <w:szCs w:val="28"/>
        </w:rPr>
        <w:t>三、开采区域</w:t>
      </w:r>
    </w:p>
    <w:p w14:paraId="4245B855">
      <w:pPr>
        <w:adjustRightInd w:val="0"/>
        <w:snapToGrid w:val="0"/>
        <w:spacing w:line="540" w:lineRule="exact"/>
        <w:ind w:firstLine="560" w:firstLineChars="200"/>
        <w:rPr>
          <w:rFonts w:hint="eastAsia" w:ascii="仿宋" w:hAnsi="仿宋" w:eastAsia="仿宋"/>
          <w:sz w:val="28"/>
          <w:szCs w:val="28"/>
        </w:rPr>
      </w:pPr>
      <w:r>
        <w:rPr>
          <w:rFonts w:ascii="仿宋" w:hAnsi="仿宋" w:eastAsia="仿宋"/>
          <w:sz w:val="28"/>
          <w:szCs w:val="28"/>
        </w:rPr>
        <w:t>2025年11月14日</w:t>
      </w:r>
      <w:r>
        <w:rPr>
          <w:rFonts w:hint="eastAsia" w:ascii="仿宋" w:hAnsi="仿宋" w:eastAsia="仿宋"/>
          <w:sz w:val="28"/>
          <w:szCs w:val="28"/>
        </w:rPr>
        <w:t>，鄂尔多斯市自然资源局为鄂尔多斯市锦海达矿业有限公司颁发了《采矿许可证》（证号：</w:t>
      </w:r>
      <w:r>
        <w:rPr>
          <w:rFonts w:ascii="仿宋" w:hAnsi="仿宋" w:eastAsia="仿宋"/>
          <w:sz w:val="28"/>
          <w:szCs w:val="28"/>
        </w:rPr>
        <w:t>XC1506002010107120078321</w:t>
      </w:r>
      <w:r>
        <w:rPr>
          <w:rFonts w:hint="eastAsia" w:ascii="仿宋" w:hAnsi="仿宋" w:eastAsia="仿宋"/>
          <w:sz w:val="28"/>
          <w:szCs w:val="28"/>
        </w:rPr>
        <w:t>），采矿权人：鄂尔多斯市锦海达矿业有限公司，矿区</w:t>
      </w:r>
      <w:r>
        <w:rPr>
          <w:rFonts w:ascii="仿宋" w:hAnsi="仿宋" w:eastAsia="仿宋"/>
          <w:sz w:val="28"/>
          <w:szCs w:val="28"/>
        </w:rPr>
        <w:t>面积0.5981</w:t>
      </w:r>
      <w:r>
        <w:rPr>
          <w:rFonts w:hint="eastAsia" w:ascii="仿宋" w:hAnsi="仿宋" w:eastAsia="仿宋"/>
          <w:sz w:val="28"/>
          <w:szCs w:val="28"/>
        </w:rPr>
        <w:t>平方公里</w:t>
      </w:r>
      <w:r>
        <w:rPr>
          <w:rFonts w:ascii="仿宋" w:hAnsi="仿宋" w:eastAsia="仿宋"/>
          <w:sz w:val="28"/>
          <w:szCs w:val="28"/>
        </w:rPr>
        <w:t>，开采矿种</w:t>
      </w:r>
      <w:r>
        <w:rPr>
          <w:rFonts w:hint="eastAsia" w:ascii="仿宋" w:hAnsi="仿宋" w:eastAsia="仿宋"/>
          <w:sz w:val="28"/>
          <w:szCs w:val="28"/>
        </w:rPr>
        <w:t>为</w:t>
      </w:r>
      <w:r>
        <w:rPr>
          <w:rFonts w:ascii="仿宋" w:hAnsi="仿宋" w:eastAsia="仿宋"/>
          <w:sz w:val="28"/>
          <w:szCs w:val="28"/>
        </w:rPr>
        <w:t>石灰岩</w:t>
      </w:r>
      <w:r>
        <w:rPr>
          <w:rFonts w:hint="eastAsia" w:ascii="仿宋" w:hAnsi="仿宋" w:eastAsia="仿宋"/>
          <w:sz w:val="28"/>
          <w:szCs w:val="28"/>
        </w:rPr>
        <w:t>，开采方式为露天开采，</w:t>
      </w:r>
      <w:r>
        <w:rPr>
          <w:rFonts w:ascii="仿宋" w:hAnsi="仿宋" w:eastAsia="仿宋"/>
          <w:sz w:val="28"/>
          <w:szCs w:val="28"/>
        </w:rPr>
        <w:t>开采</w:t>
      </w:r>
      <w:r>
        <w:rPr>
          <w:rFonts w:hint="eastAsia" w:ascii="仿宋" w:hAnsi="仿宋" w:eastAsia="仿宋"/>
          <w:sz w:val="28"/>
          <w:szCs w:val="28"/>
        </w:rPr>
        <w:t>深度由</w:t>
      </w:r>
      <w:r>
        <w:rPr>
          <w:rFonts w:ascii="仿宋" w:hAnsi="仿宋" w:eastAsia="仿宋"/>
          <w:sz w:val="28"/>
          <w:szCs w:val="28"/>
        </w:rPr>
        <w:t>1530m</w:t>
      </w:r>
      <w:r>
        <w:rPr>
          <w:rFonts w:hint="eastAsia" w:ascii="仿宋" w:hAnsi="仿宋" w:eastAsia="仿宋"/>
          <w:sz w:val="28"/>
          <w:szCs w:val="28"/>
        </w:rPr>
        <w:t>至</w:t>
      </w:r>
      <w:r>
        <w:rPr>
          <w:rFonts w:ascii="仿宋" w:hAnsi="仿宋" w:eastAsia="仿宋"/>
          <w:sz w:val="28"/>
          <w:szCs w:val="28"/>
        </w:rPr>
        <w:t>1340m标高</w:t>
      </w:r>
      <w:r>
        <w:rPr>
          <w:rFonts w:hint="eastAsia" w:ascii="仿宋" w:hAnsi="仿宋" w:eastAsia="仿宋"/>
          <w:sz w:val="28"/>
          <w:szCs w:val="28"/>
        </w:rPr>
        <w:t>，共有9个拐点圈定。</w:t>
      </w:r>
    </w:p>
    <w:p w14:paraId="4B0FB1F4">
      <w:pPr>
        <w:adjustRightInd w:val="0"/>
        <w:snapToGrid w:val="0"/>
        <w:spacing w:line="540" w:lineRule="exact"/>
        <w:ind w:firstLine="560" w:firstLineChars="200"/>
        <w:rPr>
          <w:rFonts w:hint="eastAsia" w:ascii="仿宋" w:hAnsi="仿宋" w:eastAsia="仿宋"/>
          <w:sz w:val="28"/>
          <w:szCs w:val="28"/>
        </w:rPr>
      </w:pPr>
      <w:r>
        <w:rPr>
          <w:rFonts w:ascii="仿宋" w:hAnsi="仿宋" w:eastAsia="仿宋"/>
          <w:sz w:val="28"/>
          <w:szCs w:val="28"/>
        </w:rPr>
        <w:t>2022年10月，内蒙古溥能矿业技术开发有限责任公司编制了《内蒙古自治区鄂尔多斯市锦海达矿业有限公司石灰石矿矿区制灰用石灰岩矿资源储量核实报告》（以下简称《储量核实报告》）（鄂自然资储备字〔2023〕5号），资源量估算标高为1524m至1340m</w:t>
      </w:r>
      <w:r>
        <w:rPr>
          <w:rFonts w:hint="eastAsia" w:ascii="仿宋" w:hAnsi="仿宋" w:eastAsia="仿宋"/>
          <w:sz w:val="28"/>
          <w:szCs w:val="28"/>
        </w:rPr>
        <w:t>。</w:t>
      </w:r>
    </w:p>
    <w:p w14:paraId="047FA769">
      <w:pPr>
        <w:adjustRightInd w:val="0"/>
        <w:snapToGrid w:val="0"/>
        <w:spacing w:line="540" w:lineRule="exact"/>
        <w:ind w:firstLine="560" w:firstLineChars="200"/>
        <w:rPr>
          <w:rFonts w:hint="eastAsia" w:ascii="仿宋" w:hAnsi="仿宋" w:eastAsia="仿宋"/>
          <w:sz w:val="28"/>
          <w:szCs w:val="28"/>
        </w:rPr>
      </w:pPr>
      <w:r>
        <w:rPr>
          <w:rFonts w:ascii="仿宋" w:hAnsi="仿宋" w:eastAsia="仿宋"/>
          <w:sz w:val="28"/>
          <w:szCs w:val="28"/>
        </w:rPr>
        <w:t>《开采方案》拟申请开采区域与采矿许可证平面范围一致，由</w:t>
      </w:r>
      <w:r>
        <w:rPr>
          <w:rFonts w:hint="eastAsia" w:ascii="仿宋" w:hAnsi="仿宋" w:eastAsia="仿宋"/>
          <w:sz w:val="28"/>
          <w:szCs w:val="28"/>
        </w:rPr>
        <w:t>9</w:t>
      </w:r>
      <w:r>
        <w:rPr>
          <w:rFonts w:ascii="仿宋" w:hAnsi="仿宋" w:eastAsia="仿宋"/>
          <w:sz w:val="28"/>
          <w:szCs w:val="28"/>
        </w:rPr>
        <w:t>个拐点坐标圈定，矿区面积0.5981平方公里，开采标高为1524m至1340m，露天剥离标高：地表（1524m）至1340m。</w:t>
      </w:r>
    </w:p>
    <w:p w14:paraId="79C027ED">
      <w:pPr>
        <w:spacing w:line="540" w:lineRule="exact"/>
        <w:ind w:firstLine="560" w:firstLineChars="200"/>
        <w:rPr>
          <w:rFonts w:ascii="Calibri" w:hAnsi="Calibri" w:eastAsia="宋体" w:cs="Times New Roman"/>
          <w:szCs w:val="21"/>
        </w:rPr>
      </w:pPr>
      <w:r>
        <w:rPr>
          <w:rFonts w:hint="eastAsia" w:ascii="黑体" w:hAnsi="黑体" w:eastAsia="黑体" w:cs="Times New Roman"/>
          <w:sz w:val="28"/>
          <w:szCs w:val="28"/>
        </w:rPr>
        <w:t>四、矿产资源开采</w:t>
      </w:r>
    </w:p>
    <w:p w14:paraId="3FCE529D">
      <w:pPr>
        <w:spacing w:line="540" w:lineRule="exact"/>
        <w:ind w:firstLine="560" w:firstLineChars="200"/>
        <w:rPr>
          <w:rFonts w:hint="eastAsia" w:ascii="仿宋" w:hAnsi="仿宋" w:eastAsia="仿宋"/>
          <w:sz w:val="28"/>
          <w:szCs w:val="28"/>
        </w:rPr>
      </w:pPr>
      <w:r>
        <w:rPr>
          <w:rFonts w:hint="eastAsia" w:ascii="仿宋" w:hAnsi="仿宋" w:eastAsia="仿宋"/>
          <w:sz w:val="28"/>
          <w:szCs w:val="28"/>
        </w:rPr>
        <w:t>《开采方案》根据评审备案的矿产资源储量报告确定的主要</w:t>
      </w:r>
      <w:r>
        <w:rPr>
          <w:rFonts w:ascii="仿宋" w:hAnsi="仿宋" w:eastAsia="仿宋"/>
          <w:sz w:val="28"/>
          <w:szCs w:val="28"/>
        </w:rPr>
        <w:t>开采</w:t>
      </w:r>
      <w:r>
        <w:rPr>
          <w:rFonts w:hint="eastAsia" w:ascii="仿宋" w:hAnsi="仿宋" w:eastAsia="仿宋"/>
          <w:sz w:val="28"/>
          <w:szCs w:val="28"/>
        </w:rPr>
        <w:t>主</w:t>
      </w:r>
      <w:r>
        <w:rPr>
          <w:rFonts w:ascii="仿宋" w:hAnsi="仿宋" w:eastAsia="仿宋"/>
          <w:sz w:val="28"/>
          <w:szCs w:val="28"/>
        </w:rPr>
        <w:t>矿种</w:t>
      </w:r>
      <w:r>
        <w:rPr>
          <w:rFonts w:hint="eastAsia" w:ascii="仿宋" w:hAnsi="仿宋" w:eastAsia="仿宋"/>
          <w:sz w:val="28"/>
          <w:szCs w:val="28"/>
        </w:rPr>
        <w:t>为</w:t>
      </w:r>
      <w:r>
        <w:rPr>
          <w:rFonts w:ascii="仿宋" w:hAnsi="仿宋" w:eastAsia="仿宋"/>
          <w:sz w:val="28"/>
          <w:szCs w:val="28"/>
        </w:rPr>
        <w:t>制灰用石灰岩</w:t>
      </w:r>
      <w:r>
        <w:rPr>
          <w:rFonts w:hint="eastAsia" w:ascii="仿宋" w:hAnsi="仿宋" w:eastAsia="仿宋"/>
          <w:sz w:val="28"/>
          <w:szCs w:val="28"/>
        </w:rPr>
        <w:t>，</w:t>
      </w:r>
      <w:r>
        <w:rPr>
          <w:rFonts w:ascii="仿宋" w:hAnsi="仿宋" w:eastAsia="仿宋"/>
          <w:sz w:val="28"/>
          <w:szCs w:val="28"/>
        </w:rPr>
        <w:t>开采方式为</w:t>
      </w:r>
      <w:r>
        <w:rPr>
          <w:rFonts w:hint="eastAsia" w:ascii="仿宋" w:hAnsi="仿宋" w:eastAsia="仿宋"/>
          <w:sz w:val="28"/>
          <w:szCs w:val="28"/>
        </w:rPr>
        <w:t>露天</w:t>
      </w:r>
      <w:r>
        <w:rPr>
          <w:rFonts w:ascii="仿宋" w:hAnsi="仿宋" w:eastAsia="仿宋"/>
          <w:sz w:val="28"/>
          <w:szCs w:val="28"/>
        </w:rPr>
        <w:t>开采</w:t>
      </w:r>
      <w:r>
        <w:rPr>
          <w:rFonts w:hint="eastAsia" w:ascii="仿宋" w:hAnsi="仿宋" w:eastAsia="仿宋"/>
          <w:sz w:val="28"/>
          <w:szCs w:val="28"/>
        </w:rPr>
        <w:t>。</w:t>
      </w:r>
      <w:r>
        <w:rPr>
          <w:rFonts w:ascii="仿宋" w:hAnsi="仿宋" w:eastAsia="仿宋"/>
          <w:sz w:val="28"/>
          <w:szCs w:val="28"/>
        </w:rPr>
        <w:t>拟建生产规模为</w:t>
      </w:r>
      <w:r>
        <w:rPr>
          <w:rFonts w:hint="eastAsia" w:ascii="仿宋" w:hAnsi="仿宋" w:eastAsia="仿宋"/>
          <w:sz w:val="28"/>
          <w:szCs w:val="28"/>
        </w:rPr>
        <w:t>100万吨/年</w:t>
      </w:r>
      <w:r>
        <w:rPr>
          <w:rFonts w:ascii="仿宋" w:hAnsi="仿宋" w:eastAsia="仿宋"/>
          <w:sz w:val="28"/>
          <w:szCs w:val="28"/>
        </w:rPr>
        <w:t>，</w:t>
      </w:r>
      <w:r>
        <w:rPr>
          <w:rFonts w:hint="eastAsia" w:ascii="仿宋" w:hAnsi="仿宋" w:eastAsia="仿宋"/>
          <w:sz w:val="28"/>
          <w:szCs w:val="28"/>
        </w:rPr>
        <w:t>初步</w:t>
      </w:r>
      <w:r>
        <w:rPr>
          <w:rFonts w:ascii="仿宋" w:hAnsi="仿宋" w:eastAsia="仿宋"/>
          <w:sz w:val="28"/>
          <w:szCs w:val="28"/>
        </w:rPr>
        <w:t>估算矿山服务年限</w:t>
      </w:r>
      <w:r>
        <w:rPr>
          <w:rFonts w:hint="eastAsia" w:ascii="仿宋" w:hAnsi="仿宋" w:eastAsia="仿宋"/>
          <w:sz w:val="28"/>
          <w:szCs w:val="28"/>
        </w:rPr>
        <w:t>约80年，</w:t>
      </w:r>
      <w:r>
        <w:rPr>
          <w:rFonts w:ascii="仿宋" w:hAnsi="仿宋" w:eastAsia="仿宋"/>
          <w:sz w:val="28"/>
          <w:szCs w:val="28"/>
        </w:rPr>
        <w:t>矿产资源开采方案合理。</w:t>
      </w:r>
    </w:p>
    <w:p w14:paraId="440E93FB">
      <w:pPr>
        <w:spacing w:line="540" w:lineRule="exact"/>
        <w:ind w:firstLine="560" w:firstLineChars="200"/>
        <w:rPr>
          <w:rFonts w:ascii="Calibri" w:hAnsi="Calibri" w:eastAsia="宋体" w:cs="Times New Roman"/>
          <w:szCs w:val="21"/>
        </w:rPr>
      </w:pPr>
      <w:r>
        <w:rPr>
          <w:rFonts w:hint="eastAsia" w:ascii="黑体" w:hAnsi="黑体" w:eastAsia="黑体" w:cs="Times New Roman"/>
          <w:sz w:val="28"/>
          <w:szCs w:val="28"/>
        </w:rPr>
        <w:t>五、矿产资源综合利用</w:t>
      </w:r>
    </w:p>
    <w:p w14:paraId="115E3DAD">
      <w:pPr>
        <w:tabs>
          <w:tab w:val="left" w:pos="312"/>
        </w:tabs>
        <w:adjustRightInd w:val="0"/>
        <w:snapToGrid w:val="0"/>
        <w:spacing w:line="540" w:lineRule="exact"/>
        <w:ind w:firstLine="560" w:firstLineChars="200"/>
        <w:rPr>
          <w:rFonts w:hint="eastAsia" w:ascii="仿宋" w:hAnsi="仿宋" w:eastAsia="仿宋"/>
          <w:sz w:val="28"/>
          <w:szCs w:val="28"/>
        </w:rPr>
      </w:pPr>
      <w:r>
        <w:rPr>
          <w:rFonts w:ascii="仿宋" w:hAnsi="仿宋" w:eastAsia="仿宋"/>
          <w:sz w:val="28"/>
          <w:szCs w:val="28"/>
        </w:rPr>
        <w:t>《开采方案》根据矿石工业加工利用情况，提出初步加工方案为“破碎-分级”工艺流程，产品方案为5个粒级（80～50mm、50～30mm、30～20mm、20～10mm、10～0mm）的石灰岩矿石。本矿山未发现可供综合利用的共伴生矿产资源。</w:t>
      </w:r>
    </w:p>
    <w:p w14:paraId="4C319285">
      <w:pPr>
        <w:spacing w:line="540" w:lineRule="exact"/>
        <w:ind w:firstLine="560" w:firstLineChars="200"/>
        <w:rPr>
          <w:rFonts w:ascii="Calibri" w:hAnsi="Calibri" w:eastAsia="宋体" w:cs="Times New Roman"/>
          <w:szCs w:val="21"/>
        </w:rPr>
      </w:pPr>
      <w:r>
        <w:rPr>
          <w:rFonts w:hint="eastAsia" w:ascii="黑体" w:hAnsi="黑体" w:eastAsia="黑体" w:cs="Times New Roman"/>
          <w:sz w:val="28"/>
          <w:szCs w:val="28"/>
        </w:rPr>
        <w:t>六、矿产资源“三率”指标</w:t>
      </w:r>
    </w:p>
    <w:p w14:paraId="22710F78">
      <w:pPr>
        <w:pStyle w:val="16"/>
        <w:rPr>
          <w:rFonts w:hint="eastAsia" w:cstheme="minorBidi"/>
        </w:rPr>
      </w:pPr>
      <w:r>
        <w:rPr>
          <w:rFonts w:hint="eastAsia" w:cstheme="minorBidi"/>
        </w:rPr>
        <w:t>矿业权人应采取有效措施并确保开采回采率、选矿回收率、综合利用率达到地质矿产行业标准（DZ/T0462-2023）矿产资源“三率”指标要求。</w:t>
      </w:r>
    </w:p>
    <w:p w14:paraId="1949B6C4">
      <w:pPr>
        <w:pStyle w:val="16"/>
        <w:rPr>
          <w:rFonts w:hint="eastAsia" w:cstheme="minorBidi"/>
        </w:rPr>
      </w:pPr>
      <w:r>
        <w:rPr>
          <w:rFonts w:hint="eastAsia" w:cstheme="minorBidi"/>
        </w:rPr>
        <w:t>《开采方案》推荐开采回采率95%，达到</w:t>
      </w:r>
      <w:r>
        <w:rPr>
          <w:rFonts w:cstheme="minorBidi"/>
        </w:rPr>
        <w:t>矿产资源“三率”指标要求第6部分：石墨等26种非金属矿产》（DZ/T0462.6-2023）</w:t>
      </w:r>
      <w:r>
        <w:rPr>
          <w:rFonts w:hint="eastAsia" w:cstheme="minorBidi"/>
        </w:rPr>
        <w:t>中一般指标要求。</w:t>
      </w:r>
      <w:r>
        <w:rPr>
          <w:rFonts w:cstheme="minorBidi"/>
        </w:rPr>
        <w:t>全矿不涉及选矿回收率及共伴生矿产综合利用率。</w:t>
      </w:r>
    </w:p>
    <w:p w14:paraId="65CB3679">
      <w:pPr>
        <w:spacing w:line="540" w:lineRule="exact"/>
        <w:ind w:firstLine="560" w:firstLineChars="200"/>
        <w:rPr>
          <w:rFonts w:ascii="Calibri" w:hAnsi="Calibri" w:eastAsia="宋体" w:cs="Times New Roman"/>
          <w:szCs w:val="21"/>
        </w:rPr>
      </w:pPr>
      <w:r>
        <w:rPr>
          <w:rFonts w:hint="eastAsia" w:ascii="黑体" w:hAnsi="黑体" w:eastAsia="黑体" w:cs="Times New Roman"/>
          <w:sz w:val="28"/>
          <w:szCs w:val="28"/>
        </w:rPr>
        <w:t>七、说明与建议</w:t>
      </w:r>
    </w:p>
    <w:p w14:paraId="6EE88DE2">
      <w:pPr>
        <w:tabs>
          <w:tab w:val="left" w:pos="312"/>
        </w:tabs>
        <w:adjustRightInd w:val="0"/>
        <w:snapToGrid w:val="0"/>
        <w:spacing w:line="540" w:lineRule="exact"/>
        <w:ind w:firstLine="560" w:firstLineChars="200"/>
        <w:rPr>
          <w:rFonts w:hint="eastAsia" w:ascii="仿宋" w:hAnsi="仿宋" w:eastAsia="仿宋"/>
          <w:sz w:val="28"/>
          <w:szCs w:val="28"/>
        </w:rPr>
      </w:pPr>
      <w:r>
        <w:rPr>
          <w:rFonts w:hint="eastAsia" w:ascii="仿宋" w:hAnsi="仿宋" w:eastAsia="仿宋"/>
          <w:sz w:val="28"/>
          <w:szCs w:val="28"/>
        </w:rPr>
        <w:t>1.矿山</w:t>
      </w:r>
      <w:r>
        <w:rPr>
          <w:rFonts w:ascii="仿宋" w:hAnsi="仿宋" w:eastAsia="仿宋"/>
          <w:sz w:val="28"/>
          <w:szCs w:val="28"/>
        </w:rPr>
        <w:t>建设、生产中须</w:t>
      </w:r>
      <w:r>
        <w:rPr>
          <w:rFonts w:hint="eastAsia" w:ascii="仿宋" w:hAnsi="仿宋" w:eastAsia="仿宋"/>
          <w:sz w:val="28"/>
          <w:szCs w:val="28"/>
        </w:rPr>
        <w:t>严格</w:t>
      </w:r>
      <w:r>
        <w:rPr>
          <w:rFonts w:ascii="仿宋" w:hAnsi="仿宋" w:eastAsia="仿宋"/>
          <w:sz w:val="28"/>
          <w:szCs w:val="28"/>
        </w:rPr>
        <w:t>执行安全、生态保护等</w:t>
      </w:r>
      <w:r>
        <w:rPr>
          <w:rFonts w:hint="eastAsia" w:ascii="仿宋" w:hAnsi="仿宋" w:eastAsia="仿宋"/>
          <w:sz w:val="28"/>
          <w:szCs w:val="28"/>
        </w:rPr>
        <w:t>规定</w:t>
      </w:r>
      <w:r>
        <w:rPr>
          <w:rFonts w:ascii="仿宋" w:hAnsi="仿宋" w:eastAsia="仿宋"/>
          <w:sz w:val="28"/>
          <w:szCs w:val="28"/>
        </w:rPr>
        <w:t>。矿山</w:t>
      </w:r>
      <w:r>
        <w:rPr>
          <w:rFonts w:hint="eastAsia" w:ascii="仿宋" w:hAnsi="仿宋" w:eastAsia="仿宋"/>
          <w:sz w:val="28"/>
          <w:szCs w:val="28"/>
        </w:rPr>
        <w:t>安全</w:t>
      </w:r>
      <w:r>
        <w:rPr>
          <w:rFonts w:ascii="仿宋" w:hAnsi="仿宋" w:eastAsia="仿宋"/>
          <w:sz w:val="28"/>
          <w:szCs w:val="28"/>
        </w:rPr>
        <w:t>、环境影响评价、矿</w:t>
      </w:r>
      <w:r>
        <w:rPr>
          <w:rFonts w:hint="eastAsia" w:ascii="仿宋" w:hAnsi="仿宋" w:eastAsia="仿宋"/>
          <w:sz w:val="28"/>
          <w:szCs w:val="28"/>
        </w:rPr>
        <w:t>区生态修复</w:t>
      </w:r>
      <w:r>
        <w:rPr>
          <w:rFonts w:ascii="仿宋" w:hAnsi="仿宋" w:eastAsia="仿宋"/>
          <w:sz w:val="28"/>
          <w:szCs w:val="28"/>
        </w:rPr>
        <w:t>、水土保持等按照各相应主管部门审批的方案执行。</w:t>
      </w:r>
    </w:p>
    <w:p w14:paraId="6A97FA62">
      <w:pPr>
        <w:pStyle w:val="13"/>
        <w:spacing w:line="540" w:lineRule="exact"/>
        <w:rPr>
          <w:rFonts w:hint="eastAsia" w:ascii="仿宋" w:hAnsi="仿宋" w:eastAsia="仿宋"/>
        </w:rPr>
      </w:pPr>
      <w:r>
        <w:rPr>
          <w:rFonts w:hint="eastAsia" w:ascii="仿宋" w:hAnsi="仿宋" w:eastAsia="仿宋"/>
        </w:rPr>
        <w:t>2.矿山生产活动中，应加强露天矿边坡监测工作，防止滑坡事故的发生。</w:t>
      </w:r>
    </w:p>
    <w:p w14:paraId="79117F37">
      <w:pPr>
        <w:spacing w:line="540" w:lineRule="exact"/>
        <w:ind w:firstLine="840" w:firstLineChars="300"/>
        <w:rPr>
          <w:rFonts w:ascii="Calibri" w:hAnsi="Calibri" w:eastAsia="宋体" w:cs="Times New Roman"/>
          <w:szCs w:val="21"/>
        </w:rPr>
      </w:pPr>
      <w:r>
        <w:rPr>
          <w:rFonts w:hint="eastAsia" w:ascii="黑体" w:hAnsi="黑体" w:eastAsia="黑体" w:cs="Times New Roman"/>
          <w:sz w:val="28"/>
          <w:szCs w:val="28"/>
        </w:rPr>
        <w:t>八、评审结论</w:t>
      </w:r>
    </w:p>
    <w:p w14:paraId="6004AE4A">
      <w:pPr>
        <w:tabs>
          <w:tab w:val="left" w:pos="312"/>
        </w:tabs>
        <w:adjustRightInd w:val="0"/>
        <w:snapToGrid w:val="0"/>
        <w:spacing w:line="540" w:lineRule="exact"/>
        <w:ind w:firstLine="560" w:firstLineChars="200"/>
        <w:rPr>
          <w:rFonts w:hint="eastAsia" w:ascii="仿宋" w:hAnsi="仿宋" w:eastAsia="仿宋"/>
          <w:sz w:val="28"/>
          <w:szCs w:val="28"/>
        </w:rPr>
      </w:pPr>
      <w:r>
        <w:rPr>
          <w:rFonts w:hint="eastAsia" w:ascii="仿宋" w:hAnsi="仿宋" w:eastAsia="仿宋"/>
          <w:sz w:val="28"/>
          <w:szCs w:val="28"/>
        </w:rPr>
        <w:t>《开采方案》符合《内蒙古自治区自然资源厅关于做好&lt;矿产资源法&gt;实施衔接过渡期矿产资源勘查方案、开采方案评审工作的公告》（公告〔2025〕27号）和《内蒙古自治区自然资源厅关于发布矿产资源勘查方案、开采方案评审临时服务指南的公告》（公告〔2025〕30号）等文件要求，同意通过评审</w:t>
      </w:r>
      <w:r>
        <w:rPr>
          <w:rFonts w:ascii="仿宋" w:hAnsi="仿宋" w:eastAsia="仿宋"/>
          <w:sz w:val="28"/>
          <w:szCs w:val="28"/>
        </w:rPr>
        <w:t>。</w:t>
      </w:r>
    </w:p>
    <w:p w14:paraId="44AF9EAB">
      <w:pPr>
        <w:tabs>
          <w:tab w:val="left" w:pos="312"/>
        </w:tabs>
        <w:adjustRightInd w:val="0"/>
        <w:snapToGrid w:val="0"/>
        <w:spacing w:line="500" w:lineRule="exact"/>
        <w:ind w:firstLine="4760" w:firstLineChars="1700"/>
        <w:rPr>
          <w:rFonts w:hint="eastAsia" w:ascii="仿宋" w:hAnsi="仿宋" w:eastAsia="仿宋"/>
          <w:sz w:val="28"/>
          <w:szCs w:val="28"/>
        </w:rPr>
      </w:pPr>
    </w:p>
    <w:p w14:paraId="745A5213">
      <w:pPr>
        <w:spacing w:before="312" w:beforeLines="100" w:after="312" w:afterLines="100" w:line="5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附：《鄂尔多斯市锦海达矿业有限公司石灰石矿开采方案》评审专组人员名单</w:t>
      </w:r>
    </w:p>
    <w:p w14:paraId="0735862A">
      <w:pPr>
        <w:tabs>
          <w:tab w:val="left" w:pos="312"/>
        </w:tabs>
        <w:adjustRightInd w:val="0"/>
        <w:snapToGrid w:val="0"/>
        <w:spacing w:line="500" w:lineRule="exact"/>
        <w:rPr>
          <w:rFonts w:hint="eastAsia" w:ascii="仿宋" w:hAnsi="仿宋" w:eastAsia="仿宋"/>
          <w:sz w:val="28"/>
          <w:szCs w:val="28"/>
        </w:rPr>
      </w:pPr>
    </w:p>
    <w:p w14:paraId="0B5981AC">
      <w:pPr>
        <w:tabs>
          <w:tab w:val="left" w:pos="312"/>
        </w:tabs>
        <w:adjustRightInd w:val="0"/>
        <w:snapToGrid w:val="0"/>
        <w:spacing w:line="500" w:lineRule="exact"/>
        <w:ind w:firstLine="4760" w:firstLineChars="1700"/>
        <w:rPr>
          <w:rFonts w:hint="eastAsia" w:ascii="仿宋" w:hAnsi="仿宋" w:eastAsia="仿宋"/>
          <w:sz w:val="28"/>
          <w:szCs w:val="28"/>
        </w:rPr>
      </w:pPr>
    </w:p>
    <w:p w14:paraId="547637E0">
      <w:pPr>
        <w:tabs>
          <w:tab w:val="left" w:pos="312"/>
        </w:tabs>
        <w:adjustRightInd w:val="0"/>
        <w:snapToGrid w:val="0"/>
        <w:spacing w:line="500" w:lineRule="exact"/>
        <w:ind w:firstLine="4760" w:firstLineChars="1700"/>
        <w:rPr>
          <w:rFonts w:hint="eastAsia" w:ascii="仿宋_GB2312" w:hAnsi="宋体" w:eastAsia="仿宋_GB2312"/>
          <w:sz w:val="24"/>
          <w:szCs w:val="24"/>
        </w:rPr>
      </w:pPr>
      <w:r>
        <w:rPr>
          <w:rFonts w:hint="eastAsia" w:ascii="仿宋" w:hAnsi="仿宋" w:eastAsia="仿宋"/>
          <w:sz w:val="28"/>
          <w:szCs w:val="28"/>
          <w:lang w:val="en-US" w:eastAsia="zh-CN"/>
        </w:rPr>
        <w:t>鄂尔多斯市地质调查监测院</w:t>
      </w:r>
      <w:r>
        <w:rPr>
          <w:rFonts w:hint="eastAsia" w:ascii="仿宋_GB2312" w:hAnsi="宋体" w:eastAsia="仿宋_GB2312"/>
          <w:sz w:val="24"/>
          <w:szCs w:val="24"/>
        </w:rPr>
        <w:t xml:space="preserve">   </w:t>
      </w:r>
    </w:p>
    <w:p w14:paraId="467F72C3">
      <w:pPr>
        <w:tabs>
          <w:tab w:val="left" w:pos="312"/>
        </w:tabs>
        <w:adjustRightInd w:val="0"/>
        <w:snapToGrid w:val="0"/>
        <w:spacing w:line="500" w:lineRule="exact"/>
        <w:ind w:firstLine="5760" w:firstLineChars="2400"/>
        <w:rPr>
          <w:rFonts w:hint="eastAsia" w:ascii="仿宋_GB2312" w:hAnsi="宋体" w:eastAsia="仿宋_GB2312"/>
          <w:sz w:val="24"/>
          <w:szCs w:val="24"/>
        </w:rPr>
      </w:pPr>
      <w:r>
        <w:rPr>
          <w:rFonts w:hint="eastAsia" w:ascii="仿宋_GB2312" w:hAnsi="宋体" w:eastAsia="仿宋_GB2312"/>
          <w:sz w:val="24"/>
          <w:szCs w:val="24"/>
        </w:rPr>
        <w:t>2026年6月12日</w:t>
      </w:r>
    </w:p>
    <w:p w14:paraId="2E6ED19E">
      <w:pPr>
        <w:spacing w:before="312" w:beforeLines="100" w:after="312" w:afterLines="100" w:line="500" w:lineRule="exact"/>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附件2</w:t>
      </w:r>
    </w:p>
    <w:p w14:paraId="33CB8D53">
      <w:pPr>
        <w:spacing w:before="312" w:beforeLines="100" w:after="312" w:afterLines="100" w:line="500" w:lineRule="exact"/>
        <w:rPr>
          <w:rFonts w:hint="default" w:ascii="仿宋_GB2312" w:hAnsi="宋体" w:eastAsia="仿宋_GB2312"/>
          <w:sz w:val="28"/>
          <w:szCs w:val="28"/>
          <w:lang w:val="en-US" w:eastAsia="zh-CN"/>
        </w:rPr>
      </w:pPr>
      <w:r>
        <w:drawing>
          <wp:anchor distT="0" distB="0" distL="114300" distR="114300" simplePos="0" relativeHeight="251659264" behindDoc="0" locked="0" layoutInCell="1" allowOverlap="1">
            <wp:simplePos x="0" y="0"/>
            <wp:positionH relativeFrom="column">
              <wp:posOffset>-95250</wp:posOffset>
            </wp:positionH>
            <wp:positionV relativeFrom="paragraph">
              <wp:posOffset>1558925</wp:posOffset>
            </wp:positionV>
            <wp:extent cx="5457825" cy="4762500"/>
            <wp:effectExtent l="0" t="0" r="9525"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457825" cy="4762500"/>
                    </a:xfrm>
                    <a:prstGeom prst="rect">
                      <a:avLst/>
                    </a:prstGeom>
                    <a:noFill/>
                    <a:ln>
                      <a:noFill/>
                    </a:ln>
                  </pic:spPr>
                </pic:pic>
              </a:graphicData>
            </a:graphic>
          </wp:anchor>
        </w:drawing>
      </w:r>
    </w:p>
    <w:sectPr>
      <w:headerReference r:id="rId3" w:type="default"/>
      <w:footerReference r:id="rId4" w:type="default"/>
      <w:pgSz w:w="11906" w:h="16838"/>
      <w:pgMar w:top="1440" w:right="1800" w:bottom="1440" w:left="1800" w:header="851" w:footer="992" w:gutter="0"/>
      <w:pgNumType w:start="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Segoe UI Symbol">
    <w:panose1 w:val="020B0502040204020203"/>
    <w:charset w:val="00"/>
    <w:family w:val="swiss"/>
    <w:pitch w:val="default"/>
    <w:sig w:usb0="8000006F" w:usb1="1200FBEF" w:usb2="0004C000" w:usb3="00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96750"/>
      <w:docPartObj>
        <w:docPartGallery w:val="autotext"/>
      </w:docPartObj>
    </w:sdtPr>
    <w:sdtContent>
      <w:p w14:paraId="1D0D7551">
        <w:pPr>
          <w:pStyle w:val="6"/>
          <w:jc w:val="center"/>
        </w:pPr>
        <w:r>
          <w:fldChar w:fldCharType="begin"/>
        </w:r>
        <w:r>
          <w:instrText xml:space="preserve"> PAGE   \* MERGEFORMAT </w:instrText>
        </w:r>
        <w:r>
          <w:fldChar w:fldCharType="separate"/>
        </w:r>
        <w:r>
          <w:rPr>
            <w:lang w:val="zh-CN"/>
          </w:rPr>
          <w:t>5</w:t>
        </w:r>
        <w:r>
          <w:rPr>
            <w:lang w:val="zh-CN"/>
          </w:rPr>
          <w:fldChar w:fldCharType="end"/>
        </w:r>
      </w:p>
    </w:sdtContent>
  </w:sdt>
  <w:p w14:paraId="285A6098">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48214">
    <w:pPr>
      <w:pStyle w:val="7"/>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FA783D"/>
    <w:rsid w:val="00005A7A"/>
    <w:rsid w:val="00027BA6"/>
    <w:rsid w:val="000342D9"/>
    <w:rsid w:val="000352F4"/>
    <w:rsid w:val="00066FB9"/>
    <w:rsid w:val="00070AC6"/>
    <w:rsid w:val="0008366A"/>
    <w:rsid w:val="00085AAB"/>
    <w:rsid w:val="00097AD6"/>
    <w:rsid w:val="000A0EA6"/>
    <w:rsid w:val="000A1750"/>
    <w:rsid w:val="000D0AB4"/>
    <w:rsid w:val="000D6F79"/>
    <w:rsid w:val="000D752C"/>
    <w:rsid w:val="000E2A7F"/>
    <w:rsid w:val="000F3CD8"/>
    <w:rsid w:val="001015F9"/>
    <w:rsid w:val="00136707"/>
    <w:rsid w:val="00154488"/>
    <w:rsid w:val="00156D29"/>
    <w:rsid w:val="00182CE3"/>
    <w:rsid w:val="001B07D3"/>
    <w:rsid w:val="001B772D"/>
    <w:rsid w:val="001C065F"/>
    <w:rsid w:val="001C1AD0"/>
    <w:rsid w:val="001C2E97"/>
    <w:rsid w:val="001C6371"/>
    <w:rsid w:val="001D1EE7"/>
    <w:rsid w:val="001D551C"/>
    <w:rsid w:val="001D610B"/>
    <w:rsid w:val="001E61AF"/>
    <w:rsid w:val="001E74AB"/>
    <w:rsid w:val="001F28AC"/>
    <w:rsid w:val="001F2B1A"/>
    <w:rsid w:val="0023060F"/>
    <w:rsid w:val="00245687"/>
    <w:rsid w:val="00253CA1"/>
    <w:rsid w:val="0028195F"/>
    <w:rsid w:val="00290F55"/>
    <w:rsid w:val="002A3A43"/>
    <w:rsid w:val="002A3E79"/>
    <w:rsid w:val="002A5F9E"/>
    <w:rsid w:val="002A7AA4"/>
    <w:rsid w:val="002D6322"/>
    <w:rsid w:val="002D6D23"/>
    <w:rsid w:val="002E087A"/>
    <w:rsid w:val="002E198F"/>
    <w:rsid w:val="002F4319"/>
    <w:rsid w:val="00322A17"/>
    <w:rsid w:val="00333F8A"/>
    <w:rsid w:val="00334D35"/>
    <w:rsid w:val="00336324"/>
    <w:rsid w:val="0034249B"/>
    <w:rsid w:val="00376850"/>
    <w:rsid w:val="003829C2"/>
    <w:rsid w:val="00391025"/>
    <w:rsid w:val="003A1441"/>
    <w:rsid w:val="003A3F5B"/>
    <w:rsid w:val="003B21BD"/>
    <w:rsid w:val="003B4926"/>
    <w:rsid w:val="003E68E1"/>
    <w:rsid w:val="00402B78"/>
    <w:rsid w:val="00432137"/>
    <w:rsid w:val="00434129"/>
    <w:rsid w:val="00435451"/>
    <w:rsid w:val="00445C0B"/>
    <w:rsid w:val="00463CF0"/>
    <w:rsid w:val="0046552D"/>
    <w:rsid w:val="004A1A96"/>
    <w:rsid w:val="004A6648"/>
    <w:rsid w:val="004E39BE"/>
    <w:rsid w:val="00512600"/>
    <w:rsid w:val="00515836"/>
    <w:rsid w:val="00545031"/>
    <w:rsid w:val="00545B2A"/>
    <w:rsid w:val="00572178"/>
    <w:rsid w:val="00574498"/>
    <w:rsid w:val="00593A8E"/>
    <w:rsid w:val="00594C73"/>
    <w:rsid w:val="00597CB9"/>
    <w:rsid w:val="005A4BCE"/>
    <w:rsid w:val="005C55CD"/>
    <w:rsid w:val="005F0A81"/>
    <w:rsid w:val="005F1457"/>
    <w:rsid w:val="0062060C"/>
    <w:rsid w:val="00624F02"/>
    <w:rsid w:val="0063382E"/>
    <w:rsid w:val="006418D5"/>
    <w:rsid w:val="00642FB4"/>
    <w:rsid w:val="00646355"/>
    <w:rsid w:val="0064721A"/>
    <w:rsid w:val="00655697"/>
    <w:rsid w:val="00655CC5"/>
    <w:rsid w:val="006570C5"/>
    <w:rsid w:val="00670492"/>
    <w:rsid w:val="00673364"/>
    <w:rsid w:val="006828E0"/>
    <w:rsid w:val="006939F6"/>
    <w:rsid w:val="006E12AE"/>
    <w:rsid w:val="006E69EE"/>
    <w:rsid w:val="006F0630"/>
    <w:rsid w:val="006F178F"/>
    <w:rsid w:val="00701582"/>
    <w:rsid w:val="00704364"/>
    <w:rsid w:val="00707D82"/>
    <w:rsid w:val="0072349E"/>
    <w:rsid w:val="00731A41"/>
    <w:rsid w:val="00737BF7"/>
    <w:rsid w:val="007663D3"/>
    <w:rsid w:val="00781519"/>
    <w:rsid w:val="007A0683"/>
    <w:rsid w:val="007B04BE"/>
    <w:rsid w:val="007B7312"/>
    <w:rsid w:val="007C1A19"/>
    <w:rsid w:val="007E034C"/>
    <w:rsid w:val="007E35AC"/>
    <w:rsid w:val="00805363"/>
    <w:rsid w:val="00822EE7"/>
    <w:rsid w:val="0082470E"/>
    <w:rsid w:val="00824A93"/>
    <w:rsid w:val="00832720"/>
    <w:rsid w:val="00834BC3"/>
    <w:rsid w:val="0086250D"/>
    <w:rsid w:val="00874D60"/>
    <w:rsid w:val="008A4AF7"/>
    <w:rsid w:val="008A72F4"/>
    <w:rsid w:val="008B4B07"/>
    <w:rsid w:val="008B609F"/>
    <w:rsid w:val="008C191B"/>
    <w:rsid w:val="008C7149"/>
    <w:rsid w:val="008D06ED"/>
    <w:rsid w:val="008D39F9"/>
    <w:rsid w:val="008D530B"/>
    <w:rsid w:val="008E13EA"/>
    <w:rsid w:val="008E15F6"/>
    <w:rsid w:val="008E56B9"/>
    <w:rsid w:val="008F349F"/>
    <w:rsid w:val="00941B87"/>
    <w:rsid w:val="00987A50"/>
    <w:rsid w:val="0099765C"/>
    <w:rsid w:val="009D1F71"/>
    <w:rsid w:val="009F17F3"/>
    <w:rsid w:val="009F5F1F"/>
    <w:rsid w:val="00A10D4A"/>
    <w:rsid w:val="00A11543"/>
    <w:rsid w:val="00A12C2A"/>
    <w:rsid w:val="00A37F0C"/>
    <w:rsid w:val="00A50D52"/>
    <w:rsid w:val="00A868AE"/>
    <w:rsid w:val="00AA6B60"/>
    <w:rsid w:val="00AB4E30"/>
    <w:rsid w:val="00AC0DA9"/>
    <w:rsid w:val="00AC38D4"/>
    <w:rsid w:val="00AC3CE1"/>
    <w:rsid w:val="00AD5D7B"/>
    <w:rsid w:val="00AE7254"/>
    <w:rsid w:val="00AF31F8"/>
    <w:rsid w:val="00B07AFB"/>
    <w:rsid w:val="00B114FC"/>
    <w:rsid w:val="00B14C17"/>
    <w:rsid w:val="00B156E7"/>
    <w:rsid w:val="00B21368"/>
    <w:rsid w:val="00B40A94"/>
    <w:rsid w:val="00B5712D"/>
    <w:rsid w:val="00B777F3"/>
    <w:rsid w:val="00B80A10"/>
    <w:rsid w:val="00B83557"/>
    <w:rsid w:val="00B92CE9"/>
    <w:rsid w:val="00BC7C9C"/>
    <w:rsid w:val="00BD0506"/>
    <w:rsid w:val="00C016E5"/>
    <w:rsid w:val="00C10449"/>
    <w:rsid w:val="00C16E9B"/>
    <w:rsid w:val="00C208DD"/>
    <w:rsid w:val="00C278B6"/>
    <w:rsid w:val="00C3282F"/>
    <w:rsid w:val="00C40FA1"/>
    <w:rsid w:val="00C410C8"/>
    <w:rsid w:val="00C60708"/>
    <w:rsid w:val="00C61A35"/>
    <w:rsid w:val="00C648C0"/>
    <w:rsid w:val="00C72403"/>
    <w:rsid w:val="00C924D6"/>
    <w:rsid w:val="00CB1B87"/>
    <w:rsid w:val="00CB4FC4"/>
    <w:rsid w:val="00CB534B"/>
    <w:rsid w:val="00CD1CB3"/>
    <w:rsid w:val="00CD7AE6"/>
    <w:rsid w:val="00CE09C8"/>
    <w:rsid w:val="00D0355A"/>
    <w:rsid w:val="00D076CF"/>
    <w:rsid w:val="00D15D46"/>
    <w:rsid w:val="00D219D9"/>
    <w:rsid w:val="00D26ECD"/>
    <w:rsid w:val="00D32E4D"/>
    <w:rsid w:val="00D3347E"/>
    <w:rsid w:val="00D5146A"/>
    <w:rsid w:val="00D715BE"/>
    <w:rsid w:val="00D76B8A"/>
    <w:rsid w:val="00D86B04"/>
    <w:rsid w:val="00D91DAF"/>
    <w:rsid w:val="00D944E1"/>
    <w:rsid w:val="00D9563D"/>
    <w:rsid w:val="00DA377E"/>
    <w:rsid w:val="00DA5ADA"/>
    <w:rsid w:val="00DB3BEC"/>
    <w:rsid w:val="00DB62F5"/>
    <w:rsid w:val="00DE4913"/>
    <w:rsid w:val="00E05EE8"/>
    <w:rsid w:val="00E11478"/>
    <w:rsid w:val="00E1347E"/>
    <w:rsid w:val="00E42AA9"/>
    <w:rsid w:val="00E45EBF"/>
    <w:rsid w:val="00E51E66"/>
    <w:rsid w:val="00E577F5"/>
    <w:rsid w:val="00E602CD"/>
    <w:rsid w:val="00E63317"/>
    <w:rsid w:val="00E66C2A"/>
    <w:rsid w:val="00E70799"/>
    <w:rsid w:val="00E74497"/>
    <w:rsid w:val="00E759D1"/>
    <w:rsid w:val="00EA07A9"/>
    <w:rsid w:val="00ED088A"/>
    <w:rsid w:val="00ED6B2B"/>
    <w:rsid w:val="00EE001B"/>
    <w:rsid w:val="00EE4072"/>
    <w:rsid w:val="00EF4386"/>
    <w:rsid w:val="00F04EEE"/>
    <w:rsid w:val="00F100AE"/>
    <w:rsid w:val="00F31975"/>
    <w:rsid w:val="00F36EF9"/>
    <w:rsid w:val="00F40829"/>
    <w:rsid w:val="00F523B1"/>
    <w:rsid w:val="00F57189"/>
    <w:rsid w:val="00F6297B"/>
    <w:rsid w:val="00F640D4"/>
    <w:rsid w:val="00F64637"/>
    <w:rsid w:val="00F879DD"/>
    <w:rsid w:val="01FA783D"/>
    <w:rsid w:val="195F1EB7"/>
    <w:rsid w:val="2E640049"/>
    <w:rsid w:val="3D681CA6"/>
    <w:rsid w:val="4E31383E"/>
    <w:rsid w:val="4FF95592"/>
    <w:rsid w:val="74C11096"/>
    <w:rsid w:val="7761030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qFormat/>
    <w:uiPriority w:val="0"/>
    <w:pPr>
      <w:spacing w:after="120"/>
    </w:pPr>
  </w:style>
  <w:style w:type="paragraph" w:styleId="4">
    <w:name w:val="Date"/>
    <w:basedOn w:val="1"/>
    <w:next w:val="1"/>
    <w:link w:val="20"/>
    <w:qFormat/>
    <w:uiPriority w:val="0"/>
    <w:pPr>
      <w:ind w:left="100" w:leftChars="2500"/>
    </w:pPr>
  </w:style>
  <w:style w:type="paragraph" w:styleId="5">
    <w:name w:val="Body Text Indent 2"/>
    <w:basedOn w:val="1"/>
    <w:link w:val="15"/>
    <w:unhideWhenUsed/>
    <w:qFormat/>
    <w:uiPriority w:val="99"/>
    <w:pPr>
      <w:spacing w:after="120" w:line="480" w:lineRule="auto"/>
      <w:ind w:left="420" w:leftChars="200" w:right="100" w:rightChars="100"/>
    </w:pPr>
    <w:rPr>
      <w:rFonts w:ascii="Times New Roman" w:hAnsi="Times New Roman" w:eastAsia="宋体" w:cs="Times New Roman"/>
      <w:szCs w:val="24"/>
    </w:rPr>
  </w:style>
  <w:style w:type="paragraph" w:styleId="6">
    <w:name w:val="footer"/>
    <w:basedOn w:val="1"/>
    <w:link w:val="19"/>
    <w:uiPriority w:val="99"/>
    <w:pPr>
      <w:tabs>
        <w:tab w:val="center" w:pos="4153"/>
        <w:tab w:val="right" w:pos="8306"/>
      </w:tabs>
      <w:snapToGrid w:val="0"/>
      <w:jc w:val="left"/>
    </w:pPr>
    <w:rPr>
      <w:sz w:val="18"/>
      <w:szCs w:val="18"/>
    </w:rPr>
  </w:style>
  <w:style w:type="paragraph" w:styleId="7">
    <w:name w:val="header"/>
    <w:basedOn w:val="1"/>
    <w:link w:val="18"/>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iPriority w:val="0"/>
    <w:pPr>
      <w:spacing w:before="100" w:beforeAutospacing="1" w:after="100" w:afterAutospacing="1"/>
      <w:ind w:left="0" w:right="0"/>
      <w:jc w:val="left"/>
    </w:pPr>
    <w:rPr>
      <w:kern w:val="0"/>
      <w:sz w:val="24"/>
      <w:lang w:val="en-US" w:eastAsia="zh-CN" w:bidi="ar"/>
    </w:rPr>
  </w:style>
  <w:style w:type="paragraph" w:styleId="9">
    <w:name w:val="Body Text First Indent"/>
    <w:basedOn w:val="3"/>
    <w:qFormat/>
    <w:uiPriority w:val="0"/>
    <w:pPr>
      <w:spacing w:after="120"/>
      <w:ind w:firstLine="420" w:firstLineChars="100"/>
    </w:pPr>
    <w:rPr>
      <w:sz w:val="21"/>
      <w:szCs w:val="20"/>
    </w:rPr>
  </w:style>
  <w:style w:type="character" w:styleId="12">
    <w:name w:val="annotation reference"/>
    <w:basedOn w:val="11"/>
    <w:semiHidden/>
    <w:unhideWhenUsed/>
    <w:qFormat/>
    <w:uiPriority w:val="99"/>
    <w:rPr>
      <w:sz w:val="21"/>
      <w:szCs w:val="21"/>
    </w:rPr>
  </w:style>
  <w:style w:type="paragraph" w:customStyle="1" w:styleId="13">
    <w:name w:val="样式1"/>
    <w:basedOn w:val="1"/>
    <w:link w:val="14"/>
    <w:qFormat/>
    <w:uiPriority w:val="0"/>
    <w:pPr>
      <w:spacing w:line="520" w:lineRule="exact"/>
      <w:ind w:firstLine="560" w:firstLineChars="200"/>
    </w:pPr>
    <w:rPr>
      <w:rFonts w:ascii="仿宋_GB2312" w:hAnsi="宋体" w:eastAsia="仿宋_GB2312"/>
      <w:sz w:val="28"/>
      <w:szCs w:val="28"/>
    </w:rPr>
  </w:style>
  <w:style w:type="character" w:customStyle="1" w:styleId="14">
    <w:name w:val="样式1 Char"/>
    <w:basedOn w:val="11"/>
    <w:link w:val="13"/>
    <w:uiPriority w:val="0"/>
    <w:rPr>
      <w:rFonts w:ascii="仿宋_GB2312" w:hAnsi="宋体" w:eastAsia="仿宋_GB2312"/>
      <w:kern w:val="2"/>
      <w:sz w:val="28"/>
      <w:szCs w:val="28"/>
    </w:rPr>
  </w:style>
  <w:style w:type="character" w:customStyle="1" w:styleId="15">
    <w:name w:val="正文文本缩进 2 字符"/>
    <w:basedOn w:val="11"/>
    <w:link w:val="5"/>
    <w:qFormat/>
    <w:uiPriority w:val="99"/>
    <w:rPr>
      <w:rFonts w:ascii="Times New Roman" w:hAnsi="Times New Roman" w:eastAsia="宋体" w:cs="Times New Roman"/>
      <w:kern w:val="2"/>
      <w:sz w:val="21"/>
      <w:szCs w:val="24"/>
    </w:rPr>
  </w:style>
  <w:style w:type="paragraph" w:customStyle="1" w:styleId="16">
    <w:name w:val="样式3"/>
    <w:basedOn w:val="1"/>
    <w:link w:val="17"/>
    <w:qFormat/>
    <w:uiPriority w:val="0"/>
    <w:pPr>
      <w:adjustRightInd w:val="0"/>
      <w:snapToGrid w:val="0"/>
      <w:spacing w:line="540" w:lineRule="exact"/>
      <w:ind w:firstLine="560" w:firstLineChars="200"/>
    </w:pPr>
    <w:rPr>
      <w:rFonts w:ascii="仿宋" w:hAnsi="仿宋" w:eastAsia="仿宋" w:cs="仿宋"/>
      <w:sz w:val="28"/>
      <w:szCs w:val="28"/>
    </w:rPr>
  </w:style>
  <w:style w:type="character" w:customStyle="1" w:styleId="17">
    <w:name w:val="样式3 Char"/>
    <w:basedOn w:val="11"/>
    <w:link w:val="16"/>
    <w:uiPriority w:val="0"/>
    <w:rPr>
      <w:rFonts w:ascii="仿宋" w:hAnsi="仿宋" w:eastAsia="仿宋" w:cs="仿宋"/>
      <w:kern w:val="2"/>
      <w:sz w:val="28"/>
      <w:szCs w:val="28"/>
    </w:rPr>
  </w:style>
  <w:style w:type="character" w:customStyle="1" w:styleId="18">
    <w:name w:val="页眉 字符"/>
    <w:basedOn w:val="11"/>
    <w:link w:val="7"/>
    <w:uiPriority w:val="0"/>
    <w:rPr>
      <w:kern w:val="2"/>
      <w:sz w:val="18"/>
      <w:szCs w:val="18"/>
    </w:rPr>
  </w:style>
  <w:style w:type="character" w:customStyle="1" w:styleId="19">
    <w:name w:val="页脚 字符"/>
    <w:basedOn w:val="11"/>
    <w:link w:val="6"/>
    <w:uiPriority w:val="99"/>
    <w:rPr>
      <w:kern w:val="2"/>
      <w:sz w:val="18"/>
      <w:szCs w:val="18"/>
    </w:rPr>
  </w:style>
  <w:style w:type="character" w:customStyle="1" w:styleId="20">
    <w:name w:val="日期 字符"/>
    <w:basedOn w:val="11"/>
    <w:link w:val="4"/>
    <w:qFormat/>
    <w:uiPriority w:val="0"/>
    <w:rPr>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2256</Words>
  <Characters>2570</Characters>
  <Lines>69</Lines>
  <Paragraphs>51</Paragraphs>
  <TotalTime>0</TotalTime>
  <ScaleCrop>false</ScaleCrop>
  <LinksUpToDate>false</LinksUpToDate>
  <CharactersWithSpaces>2628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2026-06-03T00:44:00Z</dcterms:created>
  <dc:creator>Administrator</dc:creator>
  <cp:lastModifiedBy>冯志燕</cp:lastModifiedBy>
  <cp:lastPrinted>2025-01-23T03:22:00Z</cp:lastPrinted>
  <dcterms:modified xsi:type="dcterms:W3CDTF">2026-06-15T09:24:52Z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102E5C6837ED486BAF5DD85CE781501F_13</vt:lpwstr>
  </property>
  <property fmtid="{D5CDD505-2E9C-101B-9397-08002B2CF9AE}" pid="4" name="KSOTemplateDocerSaveRecord">
    <vt:lpwstr>eyJoZGlkIjoiOTQxNTVkNWI0Y2E2ZWVhYzM0MjFhNjczYjNkMTI4MDgiLCJ1c2VySWQiOiI0NjEwOTE0NzIifQ==</vt:lpwstr>
  </property>
</Properties>
</file>